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inorHAnsi" w:hAnsiTheme="minorHAnsi" w:eastAsiaTheme="minorEastAsia" w:cstheme="minorBidi"/>
          <w:color w:val="auto"/>
          <w:kern w:val="2"/>
          <w:sz w:val="24"/>
          <w:szCs w:val="22"/>
          <w:lang w:val="zh-CN"/>
        </w:rPr>
        <w:id w:val="959761115"/>
        <w:docPartObj>
          <w:docPartGallery w:val="Table of Contents"/>
          <w:docPartUnique/>
        </w:docPartObj>
      </w:sdtPr>
      <w:sdtEndPr>
        <w:rPr>
          <w:rFonts w:asciiTheme="minorHAnsi" w:hAnsiTheme="minorHAnsi" w:eastAsiaTheme="minorEastAsia" w:cstheme="minorBidi"/>
          <w:b/>
          <w:bCs/>
          <w:color w:val="auto"/>
          <w:kern w:val="2"/>
          <w:sz w:val="24"/>
          <w:szCs w:val="22"/>
          <w:lang w:val="zh-CN"/>
        </w:rPr>
      </w:sdtEndPr>
      <w:sdtContent>
        <w:p>
          <w:pPr>
            <w:pStyle w:val="49"/>
            <w:jc w:val="center"/>
            <w:rPr>
              <w:rFonts w:ascii="Times New Roman" w:hAnsi="Times New Roman" w:cs="Times New Roman"/>
              <w:b/>
              <w:bCs/>
              <w:color w:val="auto"/>
              <w:lang w:val="zh-CN"/>
            </w:rPr>
          </w:pPr>
          <w:r>
            <w:rPr>
              <w:rFonts w:ascii="Times New Roman" w:hAnsi="Times New Roman" w:cs="Times New Roman"/>
              <w:b/>
              <w:bCs/>
              <w:color w:val="auto"/>
              <w:lang w:val="zh-CN"/>
            </w:rPr>
            <w:t>目  录</w:t>
          </w:r>
        </w:p>
        <w:p>
          <w:pPr>
            <w:rPr>
              <w:rFonts w:ascii="Times New Roman" w:hAnsi="Times New Roman" w:cs="Times New Roman"/>
              <w:lang w:val="zh-CN"/>
            </w:rPr>
          </w:pPr>
        </w:p>
        <w:p>
          <w:pPr>
            <w:pStyle w:val="16"/>
            <w:tabs>
              <w:tab w:val="right" w:leader="dot" w:pos="8296"/>
            </w:tabs>
            <w:rPr>
              <w:rFonts w:hint="default" w:ascii="Times New Roman" w:hAnsi="Times New Roman" w:cs="Times New Roman"/>
              <w:kern w:val="2"/>
              <w:sz w:val="28"/>
              <w:szCs w:val="28"/>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"_Toc34059472"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一、建设项目基本情况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_Toc34059472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"_Toc34059485"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二、建设项目所在地自然环境简况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_Toc34059485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"_Toc34059493"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三、</w:t>
          </w:r>
          <w:r>
            <w:rPr>
              <w:rStyle w:val="27"/>
              <w:rFonts w:hint="default" w:ascii="Times New Roman" w:hAnsi="Times New Roman" w:cs="Times New Roman"/>
              <w:bCs/>
              <w:sz w:val="28"/>
              <w:szCs w:val="28"/>
            </w:rPr>
            <w:t>环境质量状况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_Toc34059493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"_Toc34059498"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四、评价适用标准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_Toc34059498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"_Toc34059506"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五、建设项目工程分析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_Toc34059506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"_Toc34059534"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六、项目主要污染物产生及预计排放情况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_Toc34059534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"_Toc34059535"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七、环境影响分析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_Toc34059535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hint="default" w:ascii="Times New Roman" w:hAnsi="Times New Roman" w:cs="Times New Roman"/>
              <w:kern w:val="2"/>
              <w:sz w:val="28"/>
              <w:szCs w:val="28"/>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"_Toc34059559"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八、建设项目采取的防治措施及预期治理效果</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_Toc34059559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6"/>
            <w:tabs>
              <w:tab w:val="right" w:leader="dot" w:pos="8296"/>
            </w:tabs>
            <w:rPr>
              <w:rFonts w:ascii="Times New Roman" w:hAnsi="Times New Roman"/>
              <w:kern w:val="2"/>
              <w:sz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"_Toc34059560" </w:instrText>
          </w:r>
          <w:r>
            <w:rPr>
              <w:rFonts w:hint="default" w:ascii="Times New Roman" w:hAnsi="Times New Roman" w:cs="Times New Roman"/>
            </w:rPr>
            <w:fldChar w:fldCharType="separate"/>
          </w:r>
          <w:r>
            <w:rPr>
              <w:rStyle w:val="27"/>
              <w:rFonts w:hint="default" w:ascii="Times New Roman" w:hAnsi="Times New Roman" w:cs="Times New Roman"/>
              <w:sz w:val="28"/>
              <w:szCs w:val="28"/>
            </w:rPr>
            <w:t>九、结论与建议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_Toc34059560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r>
            <w:rPr>
              <w:rFonts w:ascii="Times New Roman" w:hAnsi="Times New Roman" w:cs="Times New Roman"/>
              <w:b/>
              <w:bCs/>
              <w:lang w:val="zh-CN"/>
            </w:rPr>
            <w:fldChar w:fldCharType="end"/>
          </w:r>
        </w:p>
      </w:sdtContent>
    </w:sdt>
    <w:p>
      <w:pPr>
        <w:spacing w:line="360" w:lineRule="auto"/>
        <w:jc w:val="center"/>
        <w:rPr>
          <w:rFonts w:ascii="宋体" w:hAnsi="宋体" w:eastAsia="宋体" w:cs="宋体"/>
          <w:b/>
          <w:bCs/>
          <w:szCs w:val="24"/>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p>
    <w:p>
      <w:pPr>
        <w:spacing w:line="360" w:lineRule="auto"/>
        <w:rPr>
          <w:rFonts w:ascii="宋体" w:hAnsi="宋体" w:eastAsia="宋体" w:cs="宋体"/>
          <w:b/>
          <w:bCs/>
          <w:szCs w:val="24"/>
          <w:lang w:val="zh-CN"/>
        </w:rPr>
      </w:pPr>
    </w:p>
    <w:p>
      <w:pPr>
        <w:spacing w:line="360" w:lineRule="auto"/>
        <w:jc w:val="center"/>
        <w:rPr>
          <w:rFonts w:ascii="宋体" w:hAnsi="宋体" w:eastAsia="宋体" w:cs="宋体"/>
          <w:b/>
          <w:bCs/>
          <w:szCs w:val="24"/>
          <w:lang w:val="zh-CN"/>
        </w:rPr>
      </w:pPr>
      <w:r>
        <w:rPr>
          <w:rFonts w:hint="eastAsia" w:ascii="宋体" w:hAnsi="宋体" w:eastAsia="宋体" w:cs="宋体"/>
          <w:b/>
          <w:bCs/>
          <w:szCs w:val="24"/>
          <w:lang w:val="zh-CN"/>
        </w:rPr>
        <w:t>木里港学校新建工程建设项目</w:t>
      </w:r>
    </w:p>
    <w:p>
      <w:pPr>
        <w:spacing w:line="360" w:lineRule="auto"/>
        <w:jc w:val="center"/>
        <w:rPr>
          <w:szCs w:val="24"/>
        </w:rPr>
      </w:pPr>
      <w:r>
        <w:rPr>
          <w:rFonts w:hint="eastAsia" w:ascii="宋体" w:hAnsi="宋体" w:eastAsia="宋体" w:cs="宋体"/>
          <w:b/>
          <w:bCs/>
          <w:szCs w:val="24"/>
        </w:rPr>
        <w:t>环境影响报告表专家意见修改说明</w:t>
      </w:r>
    </w:p>
    <w:tbl>
      <w:tblPr>
        <w:tblStyle w:val="23"/>
        <w:tblW w:w="9182"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44"/>
        <w:gridCol w:w="3963"/>
        <w:gridCol w:w="3454"/>
        <w:gridCol w:w="132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5" w:hRule="atLeast"/>
          <w:jc w:val="center"/>
        </w:trPr>
        <w:tc>
          <w:tcPr>
            <w:tcW w:w="444" w:type="dxa"/>
            <w:vAlign w:val="center"/>
          </w:tcPr>
          <w:p>
            <w:pPr>
              <w:spacing w:line="360" w:lineRule="auto"/>
              <w:jc w:val="center"/>
              <w:rPr>
                <w:rFonts w:ascii="Times New Roman" w:hAnsi="Times New Roman" w:eastAsia="宋体"/>
                <w:sz w:val="21"/>
                <w:szCs w:val="21"/>
              </w:rPr>
            </w:pPr>
            <w:r>
              <w:rPr>
                <w:rFonts w:hint="eastAsia" w:ascii="Times New Roman" w:hAnsi="Times New Roman"/>
                <w:sz w:val="21"/>
                <w:szCs w:val="21"/>
              </w:rPr>
              <w:t>序号</w:t>
            </w:r>
          </w:p>
        </w:tc>
        <w:tc>
          <w:tcPr>
            <w:tcW w:w="3963"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sz w:val="21"/>
                <w:szCs w:val="21"/>
              </w:rPr>
              <w:t>专家意见</w:t>
            </w:r>
          </w:p>
        </w:tc>
        <w:tc>
          <w:tcPr>
            <w:tcW w:w="3454" w:type="dxa"/>
            <w:vAlign w:val="center"/>
          </w:tcPr>
          <w:p>
            <w:pPr>
              <w:spacing w:line="360" w:lineRule="auto"/>
              <w:jc w:val="center"/>
              <w:rPr>
                <w:rFonts w:ascii="Times New Roman" w:hAnsi="Times New Roman"/>
                <w:sz w:val="21"/>
                <w:szCs w:val="21"/>
              </w:rPr>
            </w:pPr>
            <w:r>
              <w:rPr>
                <w:rFonts w:hint="eastAsia" w:ascii="Times New Roman" w:hAnsi="Times New Roman"/>
                <w:sz w:val="21"/>
                <w:szCs w:val="21"/>
              </w:rPr>
              <w:t>修改说明</w:t>
            </w:r>
          </w:p>
        </w:tc>
        <w:tc>
          <w:tcPr>
            <w:tcW w:w="1321" w:type="dxa"/>
            <w:vAlign w:val="center"/>
          </w:tcPr>
          <w:p>
            <w:pPr>
              <w:spacing w:line="360" w:lineRule="auto"/>
              <w:jc w:val="center"/>
              <w:rPr>
                <w:rFonts w:ascii="Times New Roman" w:hAnsi="Times New Roman"/>
                <w:szCs w:val="21"/>
              </w:rPr>
            </w:pPr>
            <w:r>
              <w:rPr>
                <w:rFonts w:hint="eastAsia" w:ascii="Times New Roman" w:hAnsi="Times New Roman"/>
                <w:szCs w:val="21"/>
              </w:rPr>
              <w:t>修改位置(加下划线)</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1</w:t>
            </w:r>
          </w:p>
        </w:tc>
        <w:tc>
          <w:tcPr>
            <w:tcW w:w="3963" w:type="dxa"/>
            <w:vAlign w:val="center"/>
          </w:tcPr>
          <w:p>
            <w:pPr>
              <w:pStyle w:val="2"/>
              <w:spacing w:after="0" w:line="360" w:lineRule="auto"/>
              <w:rPr>
                <w:rFonts w:ascii="Times New Roman" w:hAnsi="Times New Roman" w:eastAsia="宋体" w:cs="Times New Roman"/>
                <w:sz w:val="21"/>
                <w:szCs w:val="21"/>
              </w:rPr>
            </w:pPr>
            <w:r>
              <w:rPr>
                <w:rFonts w:hint="eastAsia" w:ascii="Times New Roman" w:hAnsi="Times New Roman"/>
                <w:sz w:val="21"/>
                <w:szCs w:val="21"/>
              </w:rPr>
              <w:t>强化项目周边用地现状和规划、企业单位分布、区域污染源（废气、噪声源）情况调查，分析本项目与木里港片区规划环评的相符性；调查拟建地给排水、道路、通讯、燃气等基础设施配套情况，强化项目选址的合理性分析。</w:t>
            </w:r>
          </w:p>
        </w:tc>
        <w:tc>
          <w:tcPr>
            <w:tcW w:w="3454"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已强化分析；</w:t>
            </w:r>
          </w:p>
          <w:p>
            <w:pPr>
              <w:spacing w:line="360" w:lineRule="auto"/>
              <w:jc w:val="left"/>
              <w:rPr>
                <w:rFonts w:ascii="Times New Roman" w:hAnsi="Times New Roman" w:eastAsia="宋体" w:cs="Times New Roman"/>
                <w:sz w:val="21"/>
                <w:szCs w:val="21"/>
              </w:rPr>
            </w:pPr>
            <w:r>
              <w:rPr>
                <w:rFonts w:hint="eastAsia" w:ascii="Times New Roman" w:hAnsi="Times New Roman"/>
                <w:sz w:val="21"/>
                <w:szCs w:val="21"/>
              </w:rPr>
              <w:t>已调查配套设施情况，强化选址合理性分析</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76</w:t>
            </w:r>
            <w:r>
              <w:rPr>
                <w:rFonts w:hint="eastAsia" w:ascii="Times New Roman" w:hAnsi="Times New Roman"/>
                <w:sz w:val="21"/>
                <w:szCs w:val="21"/>
              </w:rPr>
              <w:t>；</w:t>
            </w:r>
          </w:p>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5-6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2</w:t>
            </w:r>
          </w:p>
        </w:tc>
        <w:tc>
          <w:tcPr>
            <w:tcW w:w="3963" w:type="dxa"/>
            <w:vAlign w:val="center"/>
          </w:tcPr>
          <w:p>
            <w:pPr>
              <w:pStyle w:val="2"/>
              <w:spacing w:after="0" w:line="360" w:lineRule="auto"/>
              <w:rPr>
                <w:rFonts w:ascii="Times New Roman" w:hAnsi="Times New Roman"/>
                <w:kern w:val="0"/>
                <w:sz w:val="21"/>
                <w:szCs w:val="21"/>
              </w:rPr>
            </w:pPr>
            <w:r>
              <w:rPr>
                <w:rFonts w:hint="eastAsia" w:ascii="Times New Roman" w:hAnsi="Times New Roman"/>
                <w:kern w:val="0"/>
                <w:sz w:val="21"/>
                <w:szCs w:val="21"/>
              </w:rPr>
              <w:t>细化说明项目生物实验室、物理实验室、化学实验室的规模，说明实验室通风柜设立情况，类比调查实验室排放的污染物种类、产生量等，细化实验室废物的分类处置方式，细化危险废物暂存间建设和管理要求。</w:t>
            </w:r>
          </w:p>
        </w:tc>
        <w:tc>
          <w:tcPr>
            <w:tcW w:w="3454"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已说明；</w:t>
            </w:r>
          </w:p>
          <w:p>
            <w:pPr>
              <w:spacing w:line="360" w:lineRule="auto"/>
              <w:jc w:val="left"/>
              <w:rPr>
                <w:rFonts w:ascii="Times New Roman" w:hAnsi="Times New Roman"/>
                <w:sz w:val="21"/>
                <w:szCs w:val="21"/>
              </w:rPr>
            </w:pPr>
            <w:r>
              <w:rPr>
                <w:rFonts w:hint="eastAsia" w:ascii="Times New Roman" w:hAnsi="Times New Roman"/>
                <w:sz w:val="21"/>
                <w:szCs w:val="21"/>
              </w:rPr>
              <w:t>已类比调查实验室种类、产生量</w:t>
            </w:r>
          </w:p>
          <w:p>
            <w:pPr>
              <w:pStyle w:val="2"/>
              <w:spacing w:after="0" w:line="360" w:lineRule="auto"/>
              <w:rPr>
                <w:rFonts w:ascii="Times New Roman" w:hAnsi="Times New Roman"/>
                <w:sz w:val="21"/>
                <w:szCs w:val="21"/>
              </w:rPr>
            </w:pPr>
            <w:r>
              <w:rPr>
                <w:rFonts w:hint="eastAsia" w:ascii="Times New Roman" w:hAnsi="Times New Roman"/>
                <w:sz w:val="21"/>
                <w:szCs w:val="21"/>
              </w:rPr>
              <w:t>已细化实验室废物处置方式及危废暂存间建设管理要求</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见P3</w:t>
            </w:r>
            <w:r>
              <w:rPr>
                <w:rFonts w:ascii="Times New Roman" w:hAnsi="Times New Roman"/>
                <w:sz w:val="21"/>
                <w:szCs w:val="21"/>
              </w:rPr>
              <w:t>3</w:t>
            </w:r>
            <w:r>
              <w:rPr>
                <w:rFonts w:hint="eastAsia" w:ascii="Times New Roman" w:hAnsi="Times New Roman"/>
                <w:sz w:val="21"/>
                <w:szCs w:val="21"/>
              </w:rPr>
              <w:t>；</w:t>
            </w:r>
          </w:p>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41</w:t>
            </w:r>
            <w:r>
              <w:rPr>
                <w:rFonts w:hint="eastAsia" w:ascii="Times New Roman" w:hAnsi="Times New Roman"/>
                <w:sz w:val="21"/>
                <w:szCs w:val="21"/>
              </w:rPr>
              <w:t>；</w:t>
            </w:r>
          </w:p>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见P</w:t>
            </w:r>
            <w:r>
              <w:rPr>
                <w:rFonts w:ascii="Times New Roman" w:hAnsi="Times New Roman" w:eastAsia="宋体" w:cs="Times New Roman"/>
                <w:sz w:val="21"/>
                <w:szCs w:val="21"/>
              </w:rPr>
              <w:t>70-71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175"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3</w:t>
            </w:r>
          </w:p>
        </w:tc>
        <w:tc>
          <w:tcPr>
            <w:tcW w:w="3963" w:type="dxa"/>
            <w:vAlign w:val="center"/>
          </w:tcPr>
          <w:p>
            <w:pPr>
              <w:pStyle w:val="2"/>
              <w:spacing w:after="0" w:line="360" w:lineRule="auto"/>
              <w:rPr>
                <w:rFonts w:ascii="Times New Roman" w:hAnsi="Times New Roman" w:eastAsia="宋体" w:cs="Times New Roman"/>
                <w:sz w:val="21"/>
                <w:szCs w:val="21"/>
              </w:rPr>
            </w:pPr>
            <w:r>
              <w:rPr>
                <w:rFonts w:hint="eastAsia" w:ascii="Times New Roman" w:hAnsi="Times New Roman"/>
                <w:kern w:val="0"/>
                <w:sz w:val="21"/>
                <w:szCs w:val="21"/>
              </w:rPr>
              <w:t>细化本项目雨污分流、污污分流方式，说明自建污水处理设施的位置、处理工艺比选、出水排放路径，排水与污水处理厂的碰通关系。</w:t>
            </w:r>
          </w:p>
        </w:tc>
        <w:tc>
          <w:tcPr>
            <w:tcW w:w="3454" w:type="dxa"/>
            <w:vAlign w:val="center"/>
          </w:tcPr>
          <w:p>
            <w:pPr>
              <w:spacing w:line="360" w:lineRule="auto"/>
              <w:jc w:val="left"/>
              <w:rPr>
                <w:rFonts w:ascii="Times New Roman" w:hAnsi="Times New Roman" w:eastAsia="宋体"/>
                <w:sz w:val="21"/>
                <w:szCs w:val="21"/>
              </w:rPr>
            </w:pPr>
            <w:r>
              <w:rPr>
                <w:rFonts w:hint="eastAsia" w:ascii="Times New Roman" w:hAnsi="Times New Roman" w:eastAsia="宋体"/>
                <w:sz w:val="21"/>
                <w:szCs w:val="21"/>
              </w:rPr>
              <w:t>已细化</w:t>
            </w:r>
          </w:p>
          <w:p>
            <w:pPr>
              <w:spacing w:line="360" w:lineRule="auto"/>
              <w:jc w:val="left"/>
              <w:rPr>
                <w:rFonts w:ascii="Times New Roman" w:hAnsi="Times New Roman" w:eastAsia="宋体" w:cs="Times New Roman"/>
                <w:sz w:val="21"/>
                <w:szCs w:val="21"/>
              </w:rPr>
            </w:pPr>
            <w:r>
              <w:rPr>
                <w:rFonts w:hint="eastAsia" w:ascii="Times New Roman" w:hAnsi="Times New Roman" w:eastAsia="宋体"/>
                <w:sz w:val="21"/>
                <w:szCs w:val="21"/>
              </w:rPr>
              <w:t>已说明。</w:t>
            </w:r>
          </w:p>
        </w:tc>
        <w:tc>
          <w:tcPr>
            <w:tcW w:w="1321" w:type="dxa"/>
            <w:vAlign w:val="center"/>
          </w:tcPr>
          <w:p>
            <w:pPr>
              <w:spacing w:line="360" w:lineRule="auto"/>
              <w:jc w:val="left"/>
              <w:rPr>
                <w:rFonts w:ascii="Times New Roman" w:hAnsi="Times New Roman" w:eastAsia="宋体"/>
                <w:sz w:val="21"/>
                <w:szCs w:val="21"/>
              </w:rPr>
            </w:pPr>
            <w:r>
              <w:rPr>
                <w:rFonts w:hint="eastAsia" w:ascii="Times New Roman" w:hAnsi="Times New Roman" w:eastAsia="宋体"/>
                <w:sz w:val="21"/>
                <w:szCs w:val="21"/>
              </w:rPr>
              <w:t>见P</w:t>
            </w:r>
            <w:r>
              <w:rPr>
                <w:rFonts w:ascii="Times New Roman" w:hAnsi="Times New Roman" w:eastAsia="宋体"/>
                <w:sz w:val="21"/>
                <w:szCs w:val="21"/>
              </w:rPr>
              <w:t>5-6</w:t>
            </w:r>
            <w:r>
              <w:rPr>
                <w:rFonts w:hint="eastAsia" w:ascii="Times New Roman" w:hAnsi="Times New Roman" w:eastAsia="宋体"/>
                <w:sz w:val="21"/>
                <w:szCs w:val="21"/>
              </w:rPr>
              <w:t>；</w:t>
            </w:r>
          </w:p>
          <w:p>
            <w:pPr>
              <w:spacing w:line="360" w:lineRule="auto"/>
              <w:jc w:val="left"/>
              <w:rPr>
                <w:rFonts w:ascii="Times New Roman" w:hAnsi="Times New Roman" w:eastAsia="宋体" w:cs="Times New Roman"/>
                <w:sz w:val="21"/>
                <w:szCs w:val="21"/>
              </w:rPr>
            </w:pPr>
            <w:r>
              <w:rPr>
                <w:rFonts w:hint="eastAsia" w:ascii="Times New Roman" w:hAnsi="Times New Roman" w:eastAsia="宋体"/>
                <w:sz w:val="21"/>
                <w:szCs w:val="21"/>
              </w:rPr>
              <w:t>见P</w:t>
            </w:r>
            <w:r>
              <w:rPr>
                <w:rFonts w:ascii="Times New Roman" w:hAnsi="Times New Roman" w:eastAsia="宋体"/>
                <w:sz w:val="21"/>
                <w:szCs w:val="21"/>
              </w:rPr>
              <w:t>37-39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175"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4</w:t>
            </w:r>
          </w:p>
        </w:tc>
        <w:tc>
          <w:tcPr>
            <w:tcW w:w="3963" w:type="dxa"/>
            <w:vAlign w:val="center"/>
          </w:tcPr>
          <w:p>
            <w:pPr>
              <w:pStyle w:val="2"/>
              <w:spacing w:after="0" w:line="360" w:lineRule="auto"/>
              <w:rPr>
                <w:rFonts w:ascii="Times New Roman" w:hAnsi="Times New Roman"/>
                <w:kern w:val="0"/>
                <w:sz w:val="21"/>
                <w:szCs w:val="21"/>
              </w:rPr>
            </w:pPr>
            <w:r>
              <w:rPr>
                <w:rFonts w:hint="eastAsia" w:ascii="Times New Roman" w:hAnsi="Times New Roman"/>
                <w:kern w:val="0"/>
                <w:sz w:val="21"/>
                <w:szCs w:val="21"/>
              </w:rPr>
              <w:t>图示项目垃圾站、发电机房、变压器、污水处理站等产污点的布局，强化平面布局的合理性分析。</w:t>
            </w:r>
          </w:p>
        </w:tc>
        <w:tc>
          <w:tcPr>
            <w:tcW w:w="3454" w:type="dxa"/>
            <w:vAlign w:val="center"/>
          </w:tcPr>
          <w:p>
            <w:pPr>
              <w:pStyle w:val="21"/>
              <w:spacing w:after="0" w:line="360" w:lineRule="auto"/>
              <w:ind w:firstLine="0" w:firstLineChars="0"/>
              <w:rPr>
                <w:rFonts w:ascii="Times New Roman" w:hAnsi="Times New Roman"/>
                <w:kern w:val="0"/>
                <w:sz w:val="21"/>
                <w:szCs w:val="21"/>
              </w:rPr>
            </w:pPr>
            <w:r>
              <w:rPr>
                <w:rFonts w:hint="eastAsia" w:ascii="Times New Roman" w:hAnsi="Times New Roman"/>
                <w:kern w:val="0"/>
                <w:sz w:val="21"/>
                <w:szCs w:val="21"/>
              </w:rPr>
              <w:t>已图示项目相关布局；</w:t>
            </w:r>
          </w:p>
          <w:p>
            <w:pPr>
              <w:spacing w:line="360" w:lineRule="auto"/>
              <w:rPr>
                <w:rFonts w:ascii="Times New Roman" w:hAnsi="Times New Roman"/>
                <w:kern w:val="0"/>
                <w:sz w:val="21"/>
                <w:szCs w:val="21"/>
              </w:rPr>
            </w:pPr>
            <w:r>
              <w:rPr>
                <w:rFonts w:hint="eastAsia" w:ascii="Times New Roman" w:hAnsi="Times New Roman"/>
                <w:kern w:val="0"/>
                <w:sz w:val="21"/>
                <w:szCs w:val="21"/>
              </w:rPr>
              <w:t>已强化分析。</w:t>
            </w:r>
          </w:p>
        </w:tc>
        <w:tc>
          <w:tcPr>
            <w:tcW w:w="1321" w:type="dxa"/>
            <w:vAlign w:val="center"/>
          </w:tcPr>
          <w:p>
            <w:pPr>
              <w:spacing w:line="360" w:lineRule="auto"/>
              <w:jc w:val="left"/>
              <w:rPr>
                <w:rFonts w:ascii="Times New Roman" w:hAnsi="Times New Roman" w:eastAsia="宋体"/>
                <w:sz w:val="21"/>
                <w:szCs w:val="21"/>
              </w:rPr>
            </w:pPr>
            <w:r>
              <w:rPr>
                <w:rFonts w:hint="eastAsia" w:ascii="Times New Roman" w:hAnsi="Times New Roman" w:eastAsia="宋体"/>
                <w:sz w:val="21"/>
                <w:szCs w:val="21"/>
              </w:rPr>
              <w:t>见附图2；</w:t>
            </w:r>
          </w:p>
          <w:p>
            <w:pPr>
              <w:spacing w:line="360" w:lineRule="auto"/>
              <w:jc w:val="left"/>
              <w:rPr>
                <w:rFonts w:ascii="Times New Roman" w:hAnsi="Times New Roman" w:eastAsia="宋体" w:cs="Times New Roman"/>
                <w:sz w:val="21"/>
                <w:szCs w:val="21"/>
              </w:rPr>
            </w:pPr>
            <w:r>
              <w:rPr>
                <w:rFonts w:hint="eastAsia" w:ascii="Times New Roman" w:hAnsi="Times New Roman" w:eastAsia="宋体"/>
                <w:sz w:val="21"/>
                <w:szCs w:val="21"/>
              </w:rPr>
              <w:t>见P</w:t>
            </w:r>
            <w:r>
              <w:rPr>
                <w:rFonts w:ascii="Times New Roman" w:hAnsi="Times New Roman" w:eastAsia="宋体"/>
                <w:sz w:val="21"/>
                <w:szCs w:val="21"/>
              </w:rPr>
              <w:t>81-82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5</w:t>
            </w:r>
          </w:p>
        </w:tc>
        <w:tc>
          <w:tcPr>
            <w:tcW w:w="3963" w:type="dxa"/>
            <w:vAlign w:val="center"/>
          </w:tcPr>
          <w:p>
            <w:pPr>
              <w:pStyle w:val="2"/>
              <w:spacing w:after="0" w:line="360" w:lineRule="auto"/>
              <w:rPr>
                <w:rFonts w:ascii="Times New Roman" w:hAnsi="Times New Roman"/>
                <w:kern w:val="0"/>
                <w:sz w:val="21"/>
                <w:szCs w:val="21"/>
              </w:rPr>
            </w:pPr>
            <w:r>
              <w:rPr>
                <w:rFonts w:hint="eastAsia" w:ascii="Times New Roman" w:hAnsi="Times New Roman"/>
                <w:kern w:val="0"/>
                <w:sz w:val="21"/>
                <w:szCs w:val="21"/>
              </w:rPr>
              <w:t>补充本项目选址与木里港园区产业定位的相符性分析。</w:t>
            </w:r>
          </w:p>
        </w:tc>
        <w:tc>
          <w:tcPr>
            <w:tcW w:w="3454"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sz w:val="21"/>
                <w:szCs w:val="21"/>
              </w:rPr>
              <w:t>已补充与产业定位相符性分析。</w:t>
            </w:r>
          </w:p>
        </w:tc>
        <w:tc>
          <w:tcPr>
            <w:tcW w:w="1321"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sz w:val="21"/>
                <w:szCs w:val="21"/>
              </w:rPr>
              <w:t>见P</w:t>
            </w:r>
            <w:r>
              <w:rPr>
                <w:rFonts w:ascii="Times New Roman" w:hAnsi="Times New Roman"/>
                <w:sz w:val="21"/>
                <w:szCs w:val="21"/>
              </w:rPr>
              <w:t>77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sz w:val="21"/>
                <w:szCs w:val="21"/>
              </w:rPr>
              <w:t>6</w:t>
            </w:r>
          </w:p>
        </w:tc>
        <w:tc>
          <w:tcPr>
            <w:tcW w:w="3963" w:type="dxa"/>
            <w:vAlign w:val="center"/>
          </w:tcPr>
          <w:p>
            <w:pPr>
              <w:pStyle w:val="2"/>
              <w:spacing w:after="0" w:line="360" w:lineRule="auto"/>
              <w:rPr>
                <w:rFonts w:ascii="Times New Roman" w:hAnsi="Times New Roman" w:eastAsia="宋体" w:cs="Times New Roman"/>
                <w:sz w:val="21"/>
                <w:szCs w:val="21"/>
              </w:rPr>
            </w:pPr>
            <w:r>
              <w:rPr>
                <w:rFonts w:hint="eastAsia" w:ascii="Times New Roman" w:hAnsi="Times New Roman"/>
                <w:kern w:val="0"/>
                <w:sz w:val="21"/>
                <w:szCs w:val="21"/>
              </w:rPr>
              <w:t>进一步核实本项目外排废水的源强，论证废水处理设施处理规模和效果的可达性。</w:t>
            </w:r>
          </w:p>
        </w:tc>
        <w:tc>
          <w:tcPr>
            <w:tcW w:w="3454"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sz w:val="21"/>
                <w:szCs w:val="21"/>
              </w:rPr>
              <w:t>已核实</w:t>
            </w:r>
          </w:p>
        </w:tc>
        <w:tc>
          <w:tcPr>
            <w:tcW w:w="1321"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sz w:val="21"/>
                <w:szCs w:val="21"/>
              </w:rPr>
              <w:t>见P</w:t>
            </w:r>
            <w:r>
              <w:rPr>
                <w:rFonts w:ascii="Times New Roman" w:hAnsi="Times New Roman"/>
                <w:sz w:val="21"/>
                <w:szCs w:val="21"/>
              </w:rPr>
              <w:t>37</w:t>
            </w:r>
            <w:r>
              <w:rPr>
                <w:rFonts w:hint="eastAsia" w:ascii="Times New Roman" w:hAnsi="Times New Roman"/>
                <w:sz w:val="21"/>
                <w:szCs w:val="21"/>
                <w:lang w:val="en-US" w:eastAsia="zh-CN"/>
              </w:rPr>
              <w:t>-</w:t>
            </w:r>
            <w:r>
              <w:rPr>
                <w:rFonts w:ascii="Times New Roman" w:hAnsi="Times New Roman"/>
                <w:sz w:val="21"/>
                <w:szCs w:val="21"/>
              </w:rPr>
              <w:t>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7</w:t>
            </w:r>
          </w:p>
        </w:tc>
        <w:tc>
          <w:tcPr>
            <w:tcW w:w="3963"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明确本项目的开工日期及建设期限，便于工程分析准确核定施工期各类污染源强；要明确限定本项目在建设施工期间的夜间作业时间，避免出现夜间噪声扰民的情况。</w:t>
            </w:r>
          </w:p>
        </w:tc>
        <w:tc>
          <w:tcPr>
            <w:tcW w:w="3454"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已明确建设日期；</w:t>
            </w:r>
          </w:p>
          <w:p>
            <w:pPr>
              <w:spacing w:line="360" w:lineRule="auto"/>
              <w:jc w:val="left"/>
              <w:rPr>
                <w:rFonts w:ascii="Times New Roman" w:hAnsi="Times New Roman"/>
                <w:sz w:val="21"/>
                <w:szCs w:val="21"/>
              </w:rPr>
            </w:pPr>
            <w:r>
              <w:rPr>
                <w:rFonts w:hint="eastAsia" w:ascii="Times New Roman" w:hAnsi="Times New Roman"/>
                <w:sz w:val="21"/>
                <w:szCs w:val="21"/>
              </w:rPr>
              <w:t>已明确定施工作业时间</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31</w:t>
            </w:r>
          </w:p>
          <w:p>
            <w:pPr>
              <w:pStyle w:val="2"/>
              <w:spacing w:after="0" w:line="360" w:lineRule="auto"/>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p>
        </w:tc>
        <w:tc>
          <w:tcPr>
            <w:tcW w:w="3963"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进一步核实本项目各类危废的产生情况，落实分类收集、暂存、处置的各项具体措施。</w:t>
            </w:r>
          </w:p>
        </w:tc>
        <w:tc>
          <w:tcPr>
            <w:tcW w:w="3454"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已核实危废产生情况；</w:t>
            </w:r>
          </w:p>
          <w:p>
            <w:pPr>
              <w:pStyle w:val="21"/>
              <w:spacing w:after="0" w:line="360" w:lineRule="auto"/>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已落实措施</w:t>
            </w:r>
          </w:p>
        </w:tc>
        <w:tc>
          <w:tcPr>
            <w:tcW w:w="1321" w:type="dxa"/>
            <w:vAlign w:val="center"/>
          </w:tcPr>
          <w:p>
            <w:pPr>
              <w:pStyle w:val="2"/>
              <w:spacing w:after="0" w:line="360" w:lineRule="auto"/>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73</w:t>
            </w:r>
            <w:r>
              <w:rPr>
                <w:rFonts w:hint="eastAsia" w:ascii="Times New Roman" w:hAnsi="Times New Roman"/>
                <w:sz w:val="21"/>
                <w:szCs w:val="21"/>
              </w:rPr>
              <w:t>；</w:t>
            </w:r>
          </w:p>
          <w:p>
            <w:pPr>
              <w:pStyle w:val="2"/>
              <w:spacing w:after="0" w:line="360" w:lineRule="auto"/>
              <w:rPr>
                <w:rFonts w:ascii="Times New Roman" w:hAnsi="Times New Roman"/>
              </w:rPr>
            </w:pPr>
            <w:r>
              <w:rPr>
                <w:rFonts w:hint="eastAsia" w:ascii="Times New Roman" w:hAnsi="Times New Roman"/>
                <w:sz w:val="21"/>
                <w:szCs w:val="21"/>
              </w:rPr>
              <w:t>见P7</w:t>
            </w:r>
            <w:r>
              <w:rPr>
                <w:rFonts w:ascii="Times New Roman" w:hAnsi="Times New Roman"/>
                <w:sz w:val="21"/>
                <w:szCs w:val="21"/>
              </w:rPr>
              <w:t>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9</w:t>
            </w:r>
          </w:p>
        </w:tc>
        <w:tc>
          <w:tcPr>
            <w:tcW w:w="3963"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须进一步明确本项目产生的建筑垃圾和弃土等固废的最终处置措施，避免随意堆放而造成对环境的污染。</w:t>
            </w:r>
          </w:p>
        </w:tc>
        <w:tc>
          <w:tcPr>
            <w:tcW w:w="3454" w:type="dxa"/>
            <w:vAlign w:val="center"/>
          </w:tcPr>
          <w:p>
            <w:pPr>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已明确废处置措施</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53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10</w:t>
            </w:r>
          </w:p>
        </w:tc>
        <w:tc>
          <w:tcPr>
            <w:tcW w:w="3963"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该项目本身就是一个需保护的环境敏感目标，报告表应对本项目选址的合理性做进一步分析，提出本项目选址与周边建筑物（包括企业）合适的距离。</w:t>
            </w:r>
          </w:p>
        </w:tc>
        <w:tc>
          <w:tcPr>
            <w:tcW w:w="3454" w:type="dxa"/>
            <w:vAlign w:val="center"/>
          </w:tcPr>
          <w:p>
            <w:pPr>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已进一步分析</w:t>
            </w:r>
          </w:p>
        </w:tc>
        <w:tc>
          <w:tcPr>
            <w:tcW w:w="1321" w:type="dxa"/>
            <w:vAlign w:val="center"/>
          </w:tcPr>
          <w:p>
            <w:pPr>
              <w:spacing w:line="360" w:lineRule="auto"/>
              <w:jc w:val="left"/>
              <w:rPr>
                <w:rFonts w:ascii="Times New Roman" w:hAnsi="Times New Roman" w:eastAsia="宋体"/>
                <w:sz w:val="21"/>
                <w:szCs w:val="21"/>
              </w:rPr>
            </w:pPr>
            <w:r>
              <w:rPr>
                <w:rFonts w:hint="eastAsia" w:ascii="Times New Roman" w:hAnsi="Times New Roman"/>
                <w:sz w:val="21"/>
                <w:szCs w:val="21"/>
              </w:rPr>
              <w:t>见P</w:t>
            </w:r>
            <w:r>
              <w:rPr>
                <w:rFonts w:ascii="Times New Roman" w:hAnsi="Times New Roman"/>
                <w:sz w:val="21"/>
                <w:szCs w:val="21"/>
              </w:rPr>
              <w:t>78</w:t>
            </w:r>
            <w:r>
              <w:rPr>
                <w:rFonts w:hint="eastAsia" w:ascii="Times New Roman" w:hAnsi="Times New Roman"/>
                <w:sz w:val="21"/>
                <w:szCs w:val="21"/>
              </w:rPr>
              <w:t>~</w:t>
            </w:r>
            <w:r>
              <w:rPr>
                <w:rFonts w:ascii="Times New Roman" w:hAnsi="Times New Roman"/>
                <w:sz w:val="21"/>
                <w:szCs w:val="21"/>
              </w:rPr>
              <w:t>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11</w:t>
            </w:r>
          </w:p>
        </w:tc>
        <w:tc>
          <w:tcPr>
            <w:tcW w:w="3963" w:type="dxa"/>
            <w:vAlign w:val="center"/>
          </w:tcPr>
          <w:p>
            <w:pPr>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补充北港河与巴山港的位置关系，如果污水处理厂的污水由巴山港排入北港河则要补充巴山港河流的基本情况，包括水环境的现状和项目建成后对巴山港水环境的影响</w:t>
            </w:r>
            <w:r>
              <w:rPr>
                <w:rFonts w:hint="eastAsia" w:ascii="Times New Roman" w:hAnsi="Times New Roman" w:eastAsia="宋体" w:cs="Times New Roman"/>
                <w:sz w:val="21"/>
                <w:szCs w:val="21"/>
              </w:rPr>
              <w:t>。</w:t>
            </w:r>
          </w:p>
        </w:tc>
        <w:tc>
          <w:tcPr>
            <w:tcW w:w="3454" w:type="dxa"/>
            <w:vAlign w:val="center"/>
          </w:tcPr>
          <w:p>
            <w:pPr>
              <w:spacing w:line="360" w:lineRule="auto"/>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已明确本项目污水不进入巴山港</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 w:hRule="atLeast"/>
          <w:jc w:val="center"/>
        </w:trPr>
        <w:tc>
          <w:tcPr>
            <w:tcW w:w="444" w:type="dxa"/>
            <w:vAlign w:val="center"/>
          </w:tcPr>
          <w:p>
            <w:pPr>
              <w:pStyle w:val="2"/>
              <w:spacing w:after="0"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12</w:t>
            </w:r>
          </w:p>
        </w:tc>
        <w:tc>
          <w:tcPr>
            <w:tcW w:w="3963" w:type="dxa"/>
            <w:vAlign w:val="center"/>
          </w:tcPr>
          <w:p>
            <w:pPr>
              <w:pStyle w:val="2"/>
              <w:spacing w:after="0" w:line="360" w:lineRule="auto"/>
              <w:rPr>
                <w:rFonts w:ascii="Times New Roman" w:hAnsi="Times New Roman" w:eastAsia="宋体" w:cs="Times New Roman"/>
                <w:sz w:val="21"/>
                <w:szCs w:val="21"/>
              </w:rPr>
            </w:pPr>
            <w:r>
              <w:rPr>
                <w:rFonts w:ascii="Times New Roman" w:hAnsi="Times New Roman" w:eastAsia="宋体" w:cs="Times New Roman"/>
                <w:sz w:val="21"/>
                <w:szCs w:val="21"/>
              </w:rPr>
              <w:t>补充环保工程设施布置图及雨污分流管网布置图附图</w:t>
            </w:r>
            <w:r>
              <w:rPr>
                <w:rFonts w:hint="eastAsia" w:ascii="Times New Roman" w:hAnsi="Times New Roman" w:eastAsia="宋体" w:cs="Times New Roman"/>
                <w:sz w:val="21"/>
                <w:szCs w:val="21"/>
              </w:rPr>
              <w:t>。</w:t>
            </w:r>
          </w:p>
        </w:tc>
        <w:tc>
          <w:tcPr>
            <w:tcW w:w="3454" w:type="dxa"/>
            <w:vAlign w:val="center"/>
          </w:tcPr>
          <w:p>
            <w:pPr>
              <w:pStyle w:val="2"/>
              <w:spacing w:after="0"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已补充</w:t>
            </w:r>
          </w:p>
        </w:tc>
        <w:tc>
          <w:tcPr>
            <w:tcW w:w="1321" w:type="dxa"/>
            <w:vAlign w:val="center"/>
          </w:tcPr>
          <w:p>
            <w:pPr>
              <w:pStyle w:val="2"/>
              <w:spacing w:after="0"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见附图2；</w:t>
            </w:r>
          </w:p>
          <w:p>
            <w:pPr>
              <w:pStyle w:val="2"/>
              <w:spacing w:after="0"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见附图</w:t>
            </w:r>
            <w:r>
              <w:rPr>
                <w:rFonts w:ascii="Times New Roman" w:hAnsi="Times New Roman" w:eastAsia="宋体" w:cs="Times New Roman"/>
                <w:sz w:val="21"/>
                <w:szCs w:val="21"/>
              </w:rPr>
              <w:t>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5"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sz w:val="21"/>
                <w:szCs w:val="21"/>
              </w:rPr>
              <w:t>13</w:t>
            </w:r>
          </w:p>
        </w:tc>
        <w:tc>
          <w:tcPr>
            <w:tcW w:w="3963"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补</w:t>
            </w:r>
            <w:r>
              <w:rPr>
                <w:rFonts w:ascii="Times New Roman" w:hAnsi="Times New Roman"/>
                <w:sz w:val="21"/>
                <w:szCs w:val="21"/>
              </w:rPr>
              <w:t>充分析污水处理厂水处理工艺流程排放的可达性</w:t>
            </w:r>
            <w:r>
              <w:rPr>
                <w:rFonts w:hint="eastAsia" w:ascii="Times New Roman" w:hAnsi="Times New Roman"/>
                <w:sz w:val="21"/>
                <w:szCs w:val="21"/>
              </w:rPr>
              <w:t>。</w:t>
            </w:r>
          </w:p>
        </w:tc>
        <w:tc>
          <w:tcPr>
            <w:tcW w:w="3454" w:type="dxa"/>
            <w:vAlign w:val="center"/>
          </w:tcPr>
          <w:p>
            <w:pPr>
              <w:pStyle w:val="21"/>
              <w:spacing w:after="0" w:line="360" w:lineRule="auto"/>
              <w:ind w:firstLine="0" w:firstLineChars="0"/>
              <w:jc w:val="left"/>
              <w:rPr>
                <w:rFonts w:ascii="Times New Roman" w:hAnsi="Times New Roman"/>
                <w:sz w:val="21"/>
                <w:szCs w:val="21"/>
              </w:rPr>
            </w:pPr>
            <w:r>
              <w:rPr>
                <w:rFonts w:hint="eastAsia" w:ascii="Times New Roman" w:hAnsi="Times New Roman"/>
                <w:sz w:val="21"/>
                <w:szCs w:val="21"/>
              </w:rPr>
              <w:t>已补充分析</w:t>
            </w:r>
          </w:p>
        </w:tc>
        <w:tc>
          <w:tcPr>
            <w:tcW w:w="1321" w:type="dxa"/>
            <w:vAlign w:val="center"/>
          </w:tcPr>
          <w:p>
            <w:pPr>
              <w:spacing w:line="360" w:lineRule="auto"/>
              <w:jc w:val="left"/>
              <w:rPr>
                <w:rFonts w:ascii="Times New Roman" w:hAnsi="Times New Roman"/>
                <w:sz w:val="21"/>
                <w:szCs w:val="21"/>
              </w:rPr>
            </w:pPr>
            <w:r>
              <w:rPr>
                <w:rFonts w:hint="eastAsia" w:ascii="Times New Roman" w:hAnsi="Times New Roman"/>
                <w:sz w:val="21"/>
                <w:szCs w:val="21"/>
              </w:rPr>
              <w:t>见P6</w:t>
            </w:r>
            <w:r>
              <w:rPr>
                <w:rFonts w:ascii="Times New Roman" w:hAnsi="Times New Roman"/>
                <w:sz w:val="21"/>
                <w:szCs w:val="21"/>
              </w:rPr>
              <w:t>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5" w:hRule="atLeast"/>
          <w:jc w:val="center"/>
        </w:trPr>
        <w:tc>
          <w:tcPr>
            <w:tcW w:w="444" w:type="dxa"/>
            <w:vAlign w:val="center"/>
          </w:tcPr>
          <w:p>
            <w:pPr>
              <w:spacing w:line="360" w:lineRule="auto"/>
              <w:jc w:val="center"/>
              <w:rPr>
                <w:rFonts w:ascii="Times New Roman" w:hAnsi="Times New Roman" w:eastAsia="宋体" w:cs="Times New Roman"/>
                <w:sz w:val="21"/>
                <w:szCs w:val="21"/>
              </w:rPr>
            </w:pPr>
            <w:r>
              <w:rPr>
                <w:rFonts w:hint="eastAsia" w:ascii="Times New Roman" w:hAnsi="Times New Roman"/>
                <w:sz w:val="21"/>
                <w:szCs w:val="21"/>
              </w:rPr>
              <w:t>14</w:t>
            </w:r>
          </w:p>
        </w:tc>
        <w:tc>
          <w:tcPr>
            <w:tcW w:w="3963" w:type="dxa"/>
            <w:vAlign w:val="center"/>
          </w:tcPr>
          <w:p>
            <w:pPr>
              <w:spacing w:line="360" w:lineRule="auto"/>
              <w:jc w:val="left"/>
              <w:rPr>
                <w:rFonts w:ascii="Times New Roman" w:hAnsi="Times New Roman"/>
                <w:sz w:val="21"/>
                <w:szCs w:val="21"/>
              </w:rPr>
            </w:pPr>
            <w:r>
              <w:rPr>
                <w:rFonts w:ascii="Times New Roman" w:hAnsi="Times New Roman"/>
                <w:sz w:val="21"/>
                <w:szCs w:val="21"/>
              </w:rPr>
              <w:t>校</w:t>
            </w:r>
            <w:r>
              <w:rPr>
                <w:rFonts w:hint="eastAsia" w:ascii="Times New Roman" w:hAnsi="Times New Roman"/>
                <w:sz w:val="21"/>
                <w:szCs w:val="21"/>
              </w:rPr>
              <w:t>核</w:t>
            </w:r>
            <w:r>
              <w:rPr>
                <w:rFonts w:ascii="Times New Roman" w:hAnsi="Times New Roman"/>
                <w:sz w:val="21"/>
                <w:szCs w:val="21"/>
              </w:rPr>
              <w:t>环保投资</w:t>
            </w:r>
            <w:r>
              <w:rPr>
                <w:rFonts w:hint="eastAsia" w:ascii="Times New Roman" w:hAnsi="Times New Roman"/>
                <w:sz w:val="21"/>
                <w:szCs w:val="21"/>
              </w:rPr>
              <w:t>。</w:t>
            </w:r>
          </w:p>
        </w:tc>
        <w:tc>
          <w:tcPr>
            <w:tcW w:w="3454" w:type="dxa"/>
            <w:vAlign w:val="center"/>
          </w:tcPr>
          <w:p>
            <w:pPr>
              <w:pStyle w:val="21"/>
              <w:spacing w:after="0" w:line="360" w:lineRule="auto"/>
              <w:ind w:firstLine="0" w:firstLineChars="0"/>
              <w:jc w:val="left"/>
              <w:rPr>
                <w:rFonts w:ascii="Times New Roman" w:hAnsi="Times New Roman"/>
                <w:sz w:val="21"/>
                <w:szCs w:val="21"/>
              </w:rPr>
            </w:pPr>
            <w:r>
              <w:rPr>
                <w:rFonts w:hint="eastAsia" w:ascii="Times New Roman" w:hAnsi="Times New Roman"/>
                <w:sz w:val="21"/>
                <w:szCs w:val="21"/>
              </w:rPr>
              <w:t>已校核</w:t>
            </w:r>
          </w:p>
        </w:tc>
        <w:tc>
          <w:tcPr>
            <w:tcW w:w="1321" w:type="dxa"/>
            <w:vAlign w:val="center"/>
          </w:tcPr>
          <w:p>
            <w:pPr>
              <w:pStyle w:val="21"/>
              <w:spacing w:after="0" w:line="360" w:lineRule="auto"/>
              <w:ind w:firstLine="0" w:firstLineChars="0"/>
              <w:jc w:val="left"/>
              <w:rPr>
                <w:rFonts w:ascii="Times New Roman" w:hAnsi="Times New Roman"/>
                <w:sz w:val="21"/>
                <w:szCs w:val="21"/>
              </w:rPr>
            </w:pPr>
            <w:r>
              <w:rPr>
                <w:rFonts w:hint="eastAsia" w:ascii="Times New Roman" w:hAnsi="Times New Roman"/>
                <w:sz w:val="21"/>
                <w:szCs w:val="21"/>
              </w:rPr>
              <w:t>见P</w:t>
            </w:r>
            <w:r>
              <w:rPr>
                <w:rFonts w:ascii="Times New Roman" w:hAnsi="Times New Roman"/>
                <w:sz w:val="21"/>
                <w:szCs w:val="21"/>
              </w:rPr>
              <w:t>84</w:t>
            </w:r>
          </w:p>
        </w:tc>
      </w:tr>
    </w:tbl>
    <w:p>
      <w:pPr>
        <w:spacing w:line="360" w:lineRule="auto"/>
      </w:pPr>
    </w:p>
    <w:p>
      <w:pPr>
        <w:pStyle w:val="32"/>
        <w:ind w:firstLine="480"/>
      </w:pPr>
    </w:p>
    <w:p>
      <w:pPr>
        <w:pStyle w:val="32"/>
        <w:ind w:firstLine="0" w:firstLineChars="0"/>
        <w:sectPr>
          <w:pgSz w:w="11906" w:h="16838"/>
          <w:pgMar w:top="1440" w:right="1800" w:bottom="1440" w:left="1800" w:header="851" w:footer="992" w:gutter="0"/>
          <w:cols w:space="425" w:num="1"/>
          <w:docGrid w:type="lines" w:linePitch="312" w:charSpace="0"/>
        </w:sectPr>
      </w:pPr>
    </w:p>
    <w:p>
      <w:pPr>
        <w:pStyle w:val="4"/>
        <w:numPr>
          <w:ilvl w:val="0"/>
          <w:numId w:val="1"/>
        </w:numPr>
      </w:pPr>
      <w:bookmarkStart w:id="0" w:name="_Toc34059472"/>
      <w:r>
        <w:rPr>
          <w:rFonts w:hint="eastAsia"/>
        </w:rPr>
        <w:t>建设项目基本情况</w:t>
      </w:r>
      <w:bookmarkEnd w:id="0"/>
    </w:p>
    <w:tbl>
      <w:tblPr>
        <w:tblStyle w:val="24"/>
        <w:tblW w:w="92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1493"/>
        <w:gridCol w:w="192"/>
        <w:gridCol w:w="1229"/>
        <w:gridCol w:w="996"/>
        <w:gridCol w:w="1517"/>
        <w:gridCol w:w="18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项目名称</w:t>
            </w:r>
          </w:p>
        </w:tc>
        <w:tc>
          <w:tcPr>
            <w:tcW w:w="7249" w:type="dxa"/>
            <w:gridSpan w:val="6"/>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木里港学校新建工程建设项目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建设单位</w:t>
            </w:r>
          </w:p>
        </w:tc>
        <w:tc>
          <w:tcPr>
            <w:tcW w:w="7249" w:type="dxa"/>
            <w:gridSpan w:val="6"/>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岳阳恒骏置业有限公司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法人代表</w:t>
            </w:r>
          </w:p>
        </w:tc>
        <w:tc>
          <w:tcPr>
            <w:tcW w:w="2914" w:type="dxa"/>
            <w:gridSpan w:val="3"/>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许维</w:t>
            </w:r>
          </w:p>
        </w:tc>
        <w:tc>
          <w:tcPr>
            <w:tcW w:w="2512"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联系人</w:t>
            </w:r>
          </w:p>
        </w:tc>
        <w:tc>
          <w:tcPr>
            <w:tcW w:w="1823"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罗芬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通讯地址</w:t>
            </w:r>
          </w:p>
        </w:tc>
        <w:tc>
          <w:tcPr>
            <w:tcW w:w="7249" w:type="dxa"/>
            <w:gridSpan w:val="6"/>
            <w:tcBorders>
              <w:tl2br w:val="nil"/>
              <w:tr2bl w:val="nil"/>
            </w:tcBorders>
            <w:vAlign w:val="center"/>
          </w:tcPr>
          <w:p>
            <w:pPr>
              <w:jc w:val="center"/>
              <w:rPr>
                <w:rFonts w:ascii="Times New Roman" w:hAnsi="Times New Roman" w:cs="Times New Roman"/>
              </w:rPr>
            </w:pPr>
            <w:r>
              <w:rPr>
                <w:rFonts w:ascii="Times New Roman" w:hAnsi="Times New Roman" w:cs="Times New Roman"/>
              </w:rPr>
              <w:t>岳阳市岳阳楼区南翔万商国际商贸城写字楼11层1102室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联系电话</w:t>
            </w:r>
          </w:p>
        </w:tc>
        <w:tc>
          <w:tcPr>
            <w:tcW w:w="1685" w:type="dxa"/>
            <w:gridSpan w:val="2"/>
            <w:tcBorders>
              <w:tl2br w:val="nil"/>
              <w:tr2bl w:val="nil"/>
            </w:tcBorders>
            <w:vAlign w:val="center"/>
          </w:tcPr>
          <w:p>
            <w:pPr>
              <w:jc w:val="center"/>
              <w:rPr>
                <w:rFonts w:ascii="Times New Roman" w:hAnsi="Times New Roman" w:cs="Times New Roman"/>
                <w:highlight w:val="yellow"/>
              </w:rPr>
            </w:pPr>
            <w:r>
              <w:rPr>
                <w:rFonts w:ascii="Times New Roman" w:hAnsi="Times New Roman" w:cs="Times New Roman"/>
              </w:rPr>
              <w:t>13208997588</w:t>
            </w:r>
          </w:p>
        </w:tc>
        <w:tc>
          <w:tcPr>
            <w:tcW w:w="1229"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传真</w:t>
            </w:r>
          </w:p>
        </w:tc>
        <w:tc>
          <w:tcPr>
            <w:tcW w:w="795"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w:t>
            </w:r>
          </w:p>
        </w:tc>
        <w:tc>
          <w:tcPr>
            <w:tcW w:w="171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邮政编码</w:t>
            </w:r>
          </w:p>
        </w:tc>
        <w:tc>
          <w:tcPr>
            <w:tcW w:w="1823"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414000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建设地点</w:t>
            </w:r>
          </w:p>
        </w:tc>
        <w:tc>
          <w:tcPr>
            <w:tcW w:w="7249" w:type="dxa"/>
            <w:gridSpan w:val="6"/>
            <w:tcBorders>
              <w:tl2br w:val="nil"/>
              <w:tr2bl w:val="nil"/>
            </w:tcBorders>
            <w:vAlign w:val="center"/>
          </w:tcPr>
          <w:p>
            <w:pPr>
              <w:jc w:val="center"/>
              <w:rPr>
                <w:rFonts w:ascii="Times New Roman" w:hAnsi="Times New Roman" w:cs="Times New Roman"/>
              </w:rPr>
            </w:pPr>
            <w:r>
              <w:rPr>
                <w:rFonts w:ascii="Times New Roman" w:hAnsi="Times New Roman" w:cs="Times New Roman"/>
              </w:rPr>
              <w:t>岳阳经济技术开发区木里港管理处新园社区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立项审批部门</w:t>
            </w:r>
          </w:p>
        </w:tc>
        <w:tc>
          <w:tcPr>
            <w:tcW w:w="2914" w:type="dxa"/>
            <w:gridSpan w:val="3"/>
            <w:tcBorders>
              <w:tl2br w:val="nil"/>
              <w:tr2bl w:val="nil"/>
            </w:tcBorders>
            <w:vAlign w:val="center"/>
          </w:tcPr>
          <w:p>
            <w:pPr>
              <w:jc w:val="center"/>
              <w:rPr>
                <w:rFonts w:ascii="Times New Roman" w:hAnsi="Times New Roman" w:cs="Times New Roman"/>
              </w:rPr>
            </w:pPr>
            <w:r>
              <w:rPr>
                <w:rFonts w:ascii="Times New Roman" w:hAnsi="Times New Roman" w:cs="Times New Roman"/>
              </w:rPr>
              <w:t>/</w:t>
            </w:r>
          </w:p>
        </w:tc>
        <w:tc>
          <w:tcPr>
            <w:tcW w:w="2512"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批准文号</w:t>
            </w:r>
          </w:p>
        </w:tc>
        <w:tc>
          <w:tcPr>
            <w:tcW w:w="1823"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建设性质</w:t>
            </w:r>
          </w:p>
        </w:tc>
        <w:tc>
          <w:tcPr>
            <w:tcW w:w="1685" w:type="dxa"/>
            <w:gridSpan w:val="2"/>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新建</w:t>
            </w:r>
          </w:p>
        </w:tc>
        <w:tc>
          <w:tcPr>
            <w:tcW w:w="2024"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行业类别及代码</w:t>
            </w:r>
          </w:p>
        </w:tc>
        <w:tc>
          <w:tcPr>
            <w:tcW w:w="3540"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普通小学教育（P8231）</w:t>
            </w:r>
          </w:p>
          <w:p>
            <w:pPr>
              <w:pStyle w:val="4"/>
              <w:jc w:val="center"/>
              <w:outlineLvl w:val="0"/>
            </w:pPr>
            <w:bookmarkStart w:id="1" w:name="_Toc34059473"/>
            <w:r>
              <w:rPr>
                <w:rFonts w:ascii="Times New Roman" w:hAnsi="Times New Roman" w:cs="Times New Roman" w:eastAsiaTheme="minorEastAsia"/>
                <w:b w:val="0"/>
                <w:kern w:val="2"/>
                <w:sz w:val="24"/>
                <w:szCs w:val="22"/>
              </w:rPr>
              <w:t>普通中学教育（P8331）</w:t>
            </w:r>
            <w:bookmarkEnd w:id="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占地面积（平方米）</w:t>
            </w:r>
          </w:p>
        </w:tc>
        <w:tc>
          <w:tcPr>
            <w:tcW w:w="2914" w:type="dxa"/>
            <w:gridSpan w:val="3"/>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40136.16</w:t>
            </w:r>
          </w:p>
        </w:tc>
        <w:tc>
          <w:tcPr>
            <w:tcW w:w="2512"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绿化面积（平方米）</w:t>
            </w:r>
          </w:p>
        </w:tc>
        <w:tc>
          <w:tcPr>
            <w:tcW w:w="1823"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14068.89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总投资（万元）</w:t>
            </w:r>
          </w:p>
        </w:tc>
        <w:tc>
          <w:tcPr>
            <w:tcW w:w="1493" w:type="dxa"/>
            <w:tcBorders>
              <w:tl2br w:val="nil"/>
              <w:tr2bl w:val="nil"/>
            </w:tcBorders>
            <w:vAlign w:val="center"/>
          </w:tcPr>
          <w:p>
            <w:pPr>
              <w:jc w:val="center"/>
              <w:rPr>
                <w:rFonts w:ascii="Times New Roman" w:hAnsi="Times New Roman" w:cs="Times New Roman"/>
              </w:rPr>
            </w:pPr>
            <w:r>
              <w:rPr>
                <w:rFonts w:hint="eastAsia" w:ascii="Times New Roman" w:hAnsi="Times New Roman" w:cs="Times New Roman"/>
              </w:rPr>
              <w:t>8000</w:t>
            </w:r>
          </w:p>
        </w:tc>
        <w:tc>
          <w:tcPr>
            <w:tcW w:w="1421"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环保投资（万元）</w:t>
            </w:r>
          </w:p>
        </w:tc>
        <w:tc>
          <w:tcPr>
            <w:tcW w:w="795"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1055.35</w:t>
            </w:r>
          </w:p>
        </w:tc>
        <w:tc>
          <w:tcPr>
            <w:tcW w:w="171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环保投资占总投资比例</w:t>
            </w:r>
          </w:p>
        </w:tc>
        <w:tc>
          <w:tcPr>
            <w:tcW w:w="1823"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13.2</w:t>
            </w:r>
            <w:r>
              <w:rPr>
                <w:rFonts w:hint="eastAsia" w:ascii="Times New Roman" w:hAnsi="Times New Roman" w:cs="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37"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评价经费（万元）</w:t>
            </w:r>
          </w:p>
        </w:tc>
        <w:tc>
          <w:tcPr>
            <w:tcW w:w="2914" w:type="dxa"/>
            <w:gridSpan w:val="3"/>
            <w:tcBorders>
              <w:tl2br w:val="nil"/>
              <w:tr2bl w:val="nil"/>
            </w:tcBorders>
            <w:vAlign w:val="center"/>
          </w:tcPr>
          <w:p>
            <w:pPr>
              <w:jc w:val="center"/>
              <w:rPr>
                <w:rFonts w:ascii="Times New Roman" w:hAnsi="Times New Roman" w:cs="Times New Roman"/>
              </w:rPr>
            </w:pPr>
            <w:r>
              <w:rPr>
                <w:rFonts w:ascii="Times New Roman" w:hAnsi="Times New Roman" w:cs="Times New Roman"/>
              </w:rPr>
              <w:t>/</w:t>
            </w:r>
          </w:p>
        </w:tc>
        <w:tc>
          <w:tcPr>
            <w:tcW w:w="2512" w:type="dxa"/>
            <w:gridSpan w:val="2"/>
            <w:tcBorders>
              <w:tl2br w:val="nil"/>
              <w:tr2bl w:val="nil"/>
            </w:tcBorders>
            <w:vAlign w:val="center"/>
          </w:tcPr>
          <w:p>
            <w:pPr>
              <w:jc w:val="center"/>
              <w:rPr>
                <w:rFonts w:ascii="Times New Roman" w:hAnsi="Times New Roman" w:cs="Times New Roman"/>
              </w:rPr>
            </w:pPr>
            <w:r>
              <w:rPr>
                <w:rFonts w:ascii="Times New Roman" w:hAnsi="Times New Roman" w:cs="Times New Roman"/>
              </w:rPr>
              <w:t>投产日期</w:t>
            </w:r>
          </w:p>
        </w:tc>
        <w:tc>
          <w:tcPr>
            <w:tcW w:w="1823"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2020年9月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86" w:type="dxa"/>
            <w:gridSpan w:val="7"/>
            <w:tcBorders>
              <w:tl2br w:val="nil"/>
              <w:tr2bl w:val="nil"/>
            </w:tcBorders>
            <w:vAlign w:val="center"/>
          </w:tcPr>
          <w:p>
            <w:pPr>
              <w:jc w:val="left"/>
              <w:rPr>
                <w:rFonts w:ascii="Times New Roman" w:hAnsi="Times New Roman" w:cs="Times New Roman"/>
                <w:b/>
                <w:bCs/>
              </w:rPr>
            </w:pPr>
            <w:r>
              <w:rPr>
                <w:rFonts w:ascii="Times New Roman" w:hAnsi="Times New Roman" w:cs="Times New Roman"/>
                <w:b/>
                <w:bCs/>
              </w:rPr>
              <w:t>工程内容及规模：</w:t>
            </w:r>
          </w:p>
          <w:p>
            <w:pPr>
              <w:pStyle w:val="5"/>
              <w:ind w:firstLine="562"/>
              <w:outlineLvl w:val="1"/>
              <w:rPr>
                <w:rFonts w:cs="Times New Roman"/>
              </w:rPr>
            </w:pPr>
            <w:bookmarkStart w:id="2" w:name="_Toc34059474"/>
            <w:r>
              <w:rPr>
                <w:rFonts w:cs="Times New Roman"/>
              </w:rPr>
              <w:t>1、项目由来</w:t>
            </w:r>
            <w:bookmarkEnd w:id="2"/>
          </w:p>
          <w:p>
            <w:pPr>
              <w:ind w:firstLine="480" w:firstLineChars="200"/>
              <w:rPr>
                <w:rFonts w:ascii="Times New Roman" w:hAnsi="Times New Roman" w:cs="Times New Roman"/>
              </w:rPr>
            </w:pPr>
            <w:r>
              <w:rPr>
                <w:rFonts w:ascii="Times New Roman" w:hAnsi="Times New Roman" w:cs="Times New Roman"/>
              </w:rPr>
              <w:t>实施素质教育是教育事业的科学发展观。倡导健康和谐的素质教育理念是我国社会主义现代化建设事业的需要，它体现了基础教育的性质、宗旨与任务。推进岳阳市教育改革和发展，必须全面贯彻“优先发展、育人为本、改革创新、促进公平、提高质量”的工作方针，突出重点，分类指导，整体推进。育人为本是教育工作的根本要求。要以学生为主体，以教师为主导，充分发挥学生的主动性，把促进学生健康成长作为一切工作的出发点和落脚点。关心每个学生，促进每个学生主动地、生动活泼地发展。</w:t>
            </w:r>
          </w:p>
          <w:p>
            <w:pPr>
              <w:ind w:firstLine="480" w:firstLineChars="200"/>
              <w:jc w:val="left"/>
              <w:rPr>
                <w:rFonts w:ascii="Times New Roman" w:hAnsi="Times New Roman" w:cs="Times New Roman"/>
              </w:rPr>
            </w:pPr>
            <w:r>
              <w:rPr>
                <w:rFonts w:hint="eastAsia" w:ascii="Times New Roman" w:hAnsi="Times New Roman" w:cs="Times New Roman"/>
              </w:rPr>
              <w:t>近年来，随着岳阳市经济技术开发区的开发及居民增长，中小学生人数逐渐增加，且较多学校“大班额”现象层出不穷，严重影响教学质量，为</w:t>
            </w:r>
            <w:r>
              <w:rPr>
                <w:rFonts w:ascii="Times New Roman" w:hAnsi="Times New Roman" w:cs="Times New Roman"/>
                <w:lang w:val="zh-CN"/>
              </w:rPr>
              <w:t>缓解区域内教育压力</w:t>
            </w:r>
            <w:r>
              <w:rPr>
                <w:rFonts w:hint="eastAsia" w:ascii="Times New Roman" w:hAnsi="Times New Roman" w:cs="Times New Roman"/>
                <w:lang w:val="zh-CN"/>
              </w:rPr>
              <w:t>，</w:t>
            </w:r>
            <w:r>
              <w:rPr>
                <w:rFonts w:hint="eastAsia" w:ascii="Times New Roman" w:hAnsi="Times New Roman" w:cs="Times New Roman"/>
              </w:rPr>
              <w:t>解决岳阳市经济技术开发区区域居民住户中小学生教育问题。岳阳恒骏置业有限公司受岳阳经济技术开发区管理委员会委托，建设木里港学校新建工程建设项目，主要接收岳阳经济技术开发区区域中小学生</w:t>
            </w:r>
            <w:r>
              <w:rPr>
                <w:rFonts w:ascii="Times New Roman" w:hAnsi="Times New Roman" w:cs="Times New Roman"/>
              </w:rPr>
              <w:t>。</w:t>
            </w:r>
            <w:r>
              <w:rPr>
                <w:rFonts w:hint="eastAsia" w:ascii="Times New Roman" w:hAnsi="Times New Roman" w:cs="Times New Roman"/>
                <w:lang w:val="zh-CN"/>
              </w:rPr>
              <w:t>项目所在地市政污水管网目前已建成，但未与罗家坡污水处理厂连通。在项目建设过程中（运营前）及营运期，若污水管网还未与罗家坡污水处理厂接通，木里港学校依靠自建污水处理站使污水处理达标后先排入北港河最终排入南湖；污水管网已与罗家坡污水处理厂接通时，则本项目污水通过市政污水管网排至罗家坡污水处理厂处理。</w:t>
            </w:r>
          </w:p>
          <w:p>
            <w:pPr>
              <w:ind w:firstLine="480" w:firstLineChars="200"/>
              <w:rPr>
                <w:rFonts w:ascii="Times New Roman" w:hAnsi="Times New Roman" w:cs="Times New Roman"/>
                <w:lang w:val="zh-CN"/>
              </w:rPr>
            </w:pPr>
            <w:r>
              <w:rPr>
                <w:rFonts w:ascii="Times New Roman" w:hAnsi="Times New Roman" w:cs="Times New Roman"/>
                <w:lang w:val="zh-CN"/>
              </w:rPr>
              <w:t>根据《中华人民共和国环境保护法》</w:t>
            </w:r>
            <w:r>
              <w:rPr>
                <w:rFonts w:hint="eastAsia" w:ascii="Times New Roman" w:hAnsi="Times New Roman" w:cs="Times New Roman"/>
                <w:lang w:val="zh-CN"/>
              </w:rPr>
              <w:t>（</w:t>
            </w:r>
            <w:r>
              <w:rPr>
                <w:rFonts w:hint="eastAsia" w:ascii="Times New Roman" w:hAnsi="Times New Roman" w:cs="Times New Roman"/>
              </w:rPr>
              <w:t>2015年1月1日</w:t>
            </w:r>
            <w:r>
              <w:rPr>
                <w:rFonts w:hint="eastAsia" w:ascii="Times New Roman" w:hAnsi="Times New Roman" w:cs="Times New Roman"/>
                <w:lang w:val="zh-CN"/>
              </w:rPr>
              <w:t>）</w:t>
            </w:r>
            <w:r>
              <w:rPr>
                <w:rFonts w:ascii="Times New Roman" w:hAnsi="Times New Roman" w:cs="Times New Roman"/>
                <w:lang w:val="zh-CN"/>
              </w:rPr>
              <w:t>、《中华人民共和国环境影响评价法》</w:t>
            </w:r>
            <w:r>
              <w:rPr>
                <w:rFonts w:hint="eastAsia" w:ascii="Times New Roman" w:hAnsi="Times New Roman" w:cs="Times New Roman"/>
                <w:lang w:val="zh-CN"/>
              </w:rPr>
              <w:t>（</w:t>
            </w:r>
            <w:r>
              <w:rPr>
                <w:rFonts w:hint="eastAsia" w:ascii="Times New Roman" w:hAnsi="Times New Roman" w:cs="Times New Roman"/>
              </w:rPr>
              <w:t>2018年12月29日</w:t>
            </w:r>
            <w:r>
              <w:rPr>
                <w:rFonts w:hint="eastAsia" w:ascii="Times New Roman" w:hAnsi="Times New Roman" w:cs="Times New Roman"/>
                <w:lang w:val="zh-CN"/>
              </w:rPr>
              <w:t>）</w:t>
            </w:r>
            <w:r>
              <w:rPr>
                <w:rFonts w:ascii="Times New Roman" w:hAnsi="Times New Roman" w:cs="Times New Roman"/>
                <w:lang w:val="zh-CN"/>
              </w:rPr>
              <w:t>、《建设项目环境保护管理条例》的有关规定，《建设项目环境影响评价分类管理名录》（201</w:t>
            </w:r>
            <w:r>
              <w:rPr>
                <w:rFonts w:ascii="Times New Roman" w:hAnsi="Times New Roman" w:cs="Times New Roman"/>
              </w:rPr>
              <w:t>8</w:t>
            </w:r>
            <w:r>
              <w:rPr>
                <w:rFonts w:ascii="Times New Roman" w:hAnsi="Times New Roman" w:cs="Times New Roman"/>
                <w:lang w:val="zh-CN"/>
              </w:rPr>
              <w:t>本），项目属于</w:t>
            </w:r>
            <w:r>
              <w:rPr>
                <w:rFonts w:hint="eastAsia" w:ascii="Times New Roman" w:hAnsi="Times New Roman" w:cs="Times New Roman"/>
                <w:lang w:val="zh-CN"/>
              </w:rPr>
              <w:t>“</w:t>
            </w:r>
            <w:r>
              <w:rPr>
                <w:rFonts w:ascii="Times New Roman" w:hAnsi="Times New Roman" w:cs="Times New Roman"/>
                <w:lang w:val="zh-CN"/>
              </w:rPr>
              <w:t>四十、社会事业与服务业</w:t>
            </w:r>
            <w:r>
              <w:rPr>
                <w:rFonts w:hint="eastAsia" w:ascii="Times New Roman" w:hAnsi="Times New Roman" w:cs="Times New Roman"/>
                <w:lang w:val="zh-CN"/>
              </w:rPr>
              <w:t>”</w:t>
            </w:r>
            <w:r>
              <w:rPr>
                <w:rFonts w:ascii="Times New Roman" w:hAnsi="Times New Roman" w:cs="Times New Roman"/>
                <w:lang w:val="zh-CN"/>
              </w:rPr>
              <w:t>中的</w:t>
            </w:r>
            <w:r>
              <w:rPr>
                <w:rFonts w:hint="eastAsia" w:ascii="Times New Roman" w:hAnsi="Times New Roman" w:cs="Times New Roman"/>
                <w:lang w:val="zh-CN"/>
              </w:rPr>
              <w:t>“</w:t>
            </w:r>
            <w:r>
              <w:rPr>
                <w:rFonts w:ascii="Times New Roman" w:hAnsi="Times New Roman" w:cs="Times New Roman"/>
                <w:lang w:val="zh-CN"/>
              </w:rPr>
              <w:t>1</w:t>
            </w:r>
            <w:r>
              <w:rPr>
                <w:rFonts w:ascii="Times New Roman" w:hAnsi="Times New Roman" w:cs="Times New Roman"/>
              </w:rPr>
              <w:t>13</w:t>
            </w:r>
            <w:r>
              <w:rPr>
                <w:rFonts w:ascii="Times New Roman" w:hAnsi="Times New Roman" w:cs="Times New Roman"/>
                <w:lang w:val="zh-CN"/>
              </w:rPr>
              <w:t>小类学校、幼儿园、托儿所、福利院、养老院</w:t>
            </w:r>
            <w:r>
              <w:rPr>
                <w:rFonts w:hint="eastAsia" w:ascii="Times New Roman" w:hAnsi="Times New Roman" w:cs="Times New Roman"/>
                <w:lang w:val="zh-CN"/>
              </w:rPr>
              <w:t>”</w:t>
            </w:r>
            <w:r>
              <w:rPr>
                <w:rFonts w:ascii="Times New Roman" w:hAnsi="Times New Roman" w:cs="Times New Roman"/>
                <w:lang w:val="zh-CN"/>
              </w:rPr>
              <w:t>，本项目建筑面积</w:t>
            </w:r>
            <w:r>
              <w:rPr>
                <w:rFonts w:hint="eastAsia" w:ascii="Times New Roman" w:hAnsi="Times New Roman" w:cs="Times New Roman"/>
              </w:rPr>
              <w:t>38007.35</w:t>
            </w:r>
            <w:r>
              <w:rPr>
                <w:rFonts w:ascii="Times New Roman" w:hAnsi="Times New Roman" w:cs="Times New Roman"/>
                <w:lang w:val="zh-CN"/>
              </w:rPr>
              <w:t>m</w:t>
            </w:r>
            <w:r>
              <w:rPr>
                <w:rFonts w:ascii="Times New Roman" w:hAnsi="Times New Roman" w:cs="Times New Roman"/>
                <w:vertAlign w:val="superscript"/>
                <w:lang w:val="zh-CN"/>
              </w:rPr>
              <w:t>2</w:t>
            </w:r>
            <w:r>
              <w:rPr>
                <w:rFonts w:ascii="Times New Roman" w:hAnsi="Times New Roman" w:cs="Times New Roman"/>
                <w:lang w:val="zh-CN"/>
              </w:rPr>
              <w:t>，为“</w:t>
            </w:r>
            <w:r>
              <w:rPr>
                <w:rFonts w:ascii="Times New Roman" w:hAnsi="Times New Roman" w:cs="Times New Roman"/>
              </w:rPr>
              <w:t>有化学、生物等实验室的学校</w:t>
            </w:r>
            <w:r>
              <w:rPr>
                <w:rFonts w:ascii="Times New Roman" w:hAnsi="Times New Roman" w:cs="Times New Roman"/>
                <w:lang w:val="zh-CN"/>
              </w:rPr>
              <w:t>”，应编制环境影响评价报告表</w:t>
            </w:r>
            <w:r>
              <w:rPr>
                <w:rFonts w:ascii="Times New Roman" w:hAnsi="Times New Roman" w:cs="Times New Roman"/>
              </w:rPr>
              <w:t>。</w:t>
            </w:r>
            <w:r>
              <w:rPr>
                <w:rFonts w:hint="eastAsia" w:ascii="Times New Roman" w:hAnsi="Times New Roman" w:cs="Times New Roman"/>
              </w:rPr>
              <w:t>岳阳恒骏置业</w:t>
            </w:r>
            <w:r>
              <w:rPr>
                <w:rFonts w:ascii="Times New Roman" w:hAnsi="Times New Roman" w:cs="Times New Roman"/>
              </w:rPr>
              <w:t>有限公司委托本环评单位对</w:t>
            </w:r>
            <w:r>
              <w:rPr>
                <w:rFonts w:hint="eastAsia" w:ascii="Times New Roman" w:hAnsi="Times New Roman" w:cs="Times New Roman"/>
              </w:rPr>
              <w:t>木里港学校新建工程</w:t>
            </w:r>
            <w:r>
              <w:rPr>
                <w:rFonts w:ascii="Times New Roman" w:hAnsi="Times New Roman" w:cs="Times New Roman"/>
              </w:rPr>
              <w:t>建设项目进行环境影响评价工作。接</w:t>
            </w:r>
            <w:r>
              <w:rPr>
                <w:rFonts w:ascii="Times New Roman" w:hAnsi="Times New Roman" w:cs="Times New Roman"/>
                <w:lang w:val="zh-CN"/>
              </w:rPr>
              <w:t>受委托后，我公司立即组织有关技术人员对项目所在地及周围环境现状进行了实地踏勘，收集相关资料，并在此基础上，依据国家法律法规和建设项目环境影响评价的相关导则、规范和标准等，编制完成了本环境影响报告表</w:t>
            </w:r>
            <w:r>
              <w:rPr>
                <w:rFonts w:ascii="Times New Roman" w:hAnsi="Times New Roman" w:cs="Times New Roman"/>
              </w:rPr>
              <w:t>。</w:t>
            </w:r>
          </w:p>
          <w:p>
            <w:pPr>
              <w:pStyle w:val="5"/>
              <w:numPr>
                <w:ilvl w:val="0"/>
                <w:numId w:val="2"/>
              </w:numPr>
              <w:ind w:firstLine="562"/>
              <w:outlineLvl w:val="1"/>
              <w:rPr>
                <w:rFonts w:cs="Times New Roman"/>
              </w:rPr>
            </w:pPr>
            <w:bookmarkStart w:id="3" w:name="_Toc34059475"/>
            <w:r>
              <w:rPr>
                <w:rFonts w:hint="eastAsia" w:cs="Times New Roman"/>
              </w:rPr>
              <w:t>项目概况</w:t>
            </w:r>
            <w:bookmarkEnd w:id="3"/>
          </w:p>
          <w:p>
            <w:pPr>
              <w:ind w:firstLine="480" w:firstLineChars="200"/>
              <w:rPr>
                <w:rFonts w:ascii="Times New Roman" w:hAnsi="Times New Roman" w:cs="Times New Roman"/>
                <w:lang w:val="zh-CN"/>
              </w:rPr>
            </w:pPr>
            <w:r>
              <w:rPr>
                <w:rFonts w:ascii="Times New Roman" w:hAnsi="Times New Roman" w:cs="Times New Roman"/>
                <w:lang w:val="zh-CN"/>
              </w:rPr>
              <w:t>项目名称：</w:t>
            </w:r>
            <w:r>
              <w:rPr>
                <w:rFonts w:hint="eastAsia" w:ascii="Times New Roman" w:hAnsi="Times New Roman" w:cs="Times New Roman"/>
                <w:lang w:val="zh-CN"/>
              </w:rPr>
              <w:t>木里港学校新建工程</w:t>
            </w:r>
            <w:r>
              <w:rPr>
                <w:rFonts w:ascii="Times New Roman" w:hAnsi="Times New Roman" w:cs="Times New Roman"/>
                <w:lang w:val="zh-CN"/>
              </w:rPr>
              <w:t>建设项目</w:t>
            </w:r>
          </w:p>
          <w:p>
            <w:pPr>
              <w:ind w:firstLine="480" w:firstLineChars="200"/>
              <w:rPr>
                <w:rFonts w:ascii="Times New Roman" w:hAnsi="Times New Roman" w:cs="Times New Roman"/>
                <w:lang w:val="zh-CN"/>
              </w:rPr>
            </w:pPr>
            <w:r>
              <w:rPr>
                <w:rFonts w:ascii="Times New Roman" w:hAnsi="Times New Roman" w:cs="Times New Roman"/>
                <w:lang w:val="zh-CN"/>
              </w:rPr>
              <w:t>建设单位：</w:t>
            </w:r>
            <w:r>
              <w:rPr>
                <w:rFonts w:hint="eastAsia" w:ascii="Times New Roman" w:hAnsi="Times New Roman" w:cs="Times New Roman"/>
                <w:lang w:val="zh-CN"/>
              </w:rPr>
              <w:t>岳阳恒骏置业有限</w:t>
            </w:r>
            <w:r>
              <w:rPr>
                <w:rFonts w:ascii="Times New Roman" w:hAnsi="Times New Roman" w:cs="Times New Roman"/>
                <w:lang w:val="zh-CN"/>
              </w:rPr>
              <w:t>公司</w:t>
            </w:r>
          </w:p>
          <w:p>
            <w:pPr>
              <w:ind w:firstLine="480" w:firstLineChars="200"/>
              <w:rPr>
                <w:rFonts w:ascii="Times New Roman" w:hAnsi="Times New Roman" w:cs="Times New Roman"/>
                <w:lang w:val="zh-CN"/>
              </w:rPr>
            </w:pPr>
            <w:r>
              <w:rPr>
                <w:rFonts w:ascii="Times New Roman" w:hAnsi="Times New Roman" w:cs="Times New Roman"/>
                <w:lang w:val="zh-CN"/>
              </w:rPr>
              <w:t>建设地点：</w:t>
            </w:r>
            <w:r>
              <w:rPr>
                <w:rFonts w:ascii="Times New Roman" w:hAnsi="Times New Roman" w:cs="Times New Roman"/>
              </w:rPr>
              <w:t>岳阳经济技术开发区木里港管理处新园社区</w:t>
            </w:r>
          </w:p>
          <w:p>
            <w:pPr>
              <w:ind w:firstLine="480" w:firstLineChars="200"/>
              <w:rPr>
                <w:rFonts w:ascii="Times New Roman" w:hAnsi="Times New Roman" w:cs="Times New Roman"/>
              </w:rPr>
            </w:pPr>
            <w:r>
              <w:rPr>
                <w:rFonts w:ascii="Times New Roman" w:hAnsi="Times New Roman" w:cs="Times New Roman"/>
              </w:rPr>
              <w:t>建设性质：新建</w:t>
            </w:r>
          </w:p>
          <w:p>
            <w:pPr>
              <w:ind w:firstLine="480" w:firstLineChars="200"/>
            </w:pPr>
            <w:r>
              <w:rPr>
                <w:rFonts w:ascii="Times New Roman" w:hAnsi="Times New Roman" w:cs="Times New Roman"/>
              </w:rPr>
              <w:t>项目投资：总投资8000万元，其中环保投资1055.35万元，环保投资占总投资13.2%。资金来源企业自筹、银行贷款。</w:t>
            </w:r>
          </w:p>
          <w:p>
            <w:pPr>
              <w:pStyle w:val="5"/>
              <w:numPr>
                <w:ilvl w:val="0"/>
                <w:numId w:val="2"/>
              </w:numPr>
              <w:ind w:firstLine="562"/>
              <w:outlineLvl w:val="1"/>
              <w:rPr>
                <w:rFonts w:cs="Times New Roman"/>
              </w:rPr>
            </w:pPr>
            <w:bookmarkStart w:id="4" w:name="_Toc34059476"/>
            <w:r>
              <w:rPr>
                <w:rFonts w:cs="Times New Roman"/>
              </w:rPr>
              <w:t>项目工程</w:t>
            </w:r>
            <w:r>
              <w:rPr>
                <w:rFonts w:hint="eastAsia" w:cs="Times New Roman"/>
              </w:rPr>
              <w:t>规模及内容</w:t>
            </w:r>
            <w:bookmarkEnd w:id="4"/>
          </w:p>
          <w:p>
            <w:pPr>
              <w:ind w:firstLine="480" w:firstLineChars="200"/>
              <w:rPr>
                <w:rFonts w:ascii="Times New Roman" w:hAnsi="Times New Roman" w:cs="Times New Roman"/>
              </w:rPr>
            </w:pPr>
            <w:r>
              <w:rPr>
                <w:rFonts w:ascii="Times New Roman" w:hAnsi="Times New Roman" w:cs="Times New Roman"/>
              </w:rPr>
              <w:t>项目总占地面积</w:t>
            </w:r>
            <w:r>
              <w:rPr>
                <w:rFonts w:hint="eastAsia" w:ascii="Times New Roman" w:hAnsi="Times New Roman" w:cs="Times New Roman"/>
              </w:rPr>
              <w:t>40136.16</w:t>
            </w:r>
            <w:r>
              <w:rPr>
                <w:rFonts w:ascii="Times New Roman" w:hAnsi="Times New Roman" w:cs="Times New Roman"/>
              </w:rPr>
              <w:t>平方米，总建筑面积为</w:t>
            </w:r>
            <w:r>
              <w:rPr>
                <w:rFonts w:hint="eastAsia" w:ascii="Times New Roman" w:hAnsi="Times New Roman" w:cs="Times New Roman"/>
              </w:rPr>
              <w:t>38007.35</w:t>
            </w:r>
            <w:r>
              <w:rPr>
                <w:rFonts w:ascii="Times New Roman" w:hAnsi="Times New Roman" w:cs="Times New Roman"/>
              </w:rPr>
              <w:t>平方米，</w:t>
            </w:r>
            <w:r>
              <w:rPr>
                <w:rFonts w:ascii="Times New Roman" w:hAnsi="Times New Roman" w:cs="Times New Roman"/>
                <w:lang w:val="zh-CN"/>
              </w:rPr>
              <w:t>办学规模最高达</w:t>
            </w:r>
            <w:r>
              <w:rPr>
                <w:rFonts w:hint="eastAsia" w:ascii="Times New Roman" w:hAnsi="Times New Roman" w:cs="Times New Roman"/>
              </w:rPr>
              <w:t>54</w:t>
            </w:r>
            <w:r>
              <w:rPr>
                <w:rFonts w:ascii="Times New Roman" w:hAnsi="Times New Roman" w:cs="Times New Roman"/>
                <w:lang w:val="zh-CN"/>
              </w:rPr>
              <w:t>个教学班，其中小学</w:t>
            </w:r>
            <w:r>
              <w:rPr>
                <w:rFonts w:hint="eastAsia" w:ascii="Times New Roman" w:hAnsi="Times New Roman" w:cs="Times New Roman"/>
              </w:rPr>
              <w:t>18</w:t>
            </w:r>
            <w:r>
              <w:rPr>
                <w:rFonts w:ascii="Times New Roman" w:hAnsi="Times New Roman" w:cs="Times New Roman"/>
                <w:lang w:val="zh-CN"/>
              </w:rPr>
              <w:t>个班，初中</w:t>
            </w:r>
            <w:r>
              <w:rPr>
                <w:rFonts w:hint="eastAsia" w:ascii="Times New Roman" w:hAnsi="Times New Roman" w:cs="Times New Roman"/>
              </w:rPr>
              <w:t>36</w:t>
            </w:r>
            <w:r>
              <w:rPr>
                <w:rFonts w:ascii="Times New Roman" w:hAnsi="Times New Roman" w:cs="Times New Roman"/>
                <w:lang w:val="zh-CN"/>
              </w:rPr>
              <w:t>个班。</w:t>
            </w:r>
            <w:r>
              <w:rPr>
                <w:rFonts w:ascii="Times New Roman" w:hAnsi="Times New Roman" w:cs="Times New Roman"/>
              </w:rPr>
              <w:t>项目建设内容包括</w:t>
            </w:r>
            <w:r>
              <w:rPr>
                <w:rFonts w:hint="eastAsia" w:ascii="Times New Roman" w:hAnsi="Times New Roman" w:cs="Times New Roman"/>
              </w:rPr>
              <w:t>小学教学</w:t>
            </w:r>
            <w:r>
              <w:rPr>
                <w:rFonts w:ascii="Times New Roman" w:hAnsi="Times New Roman" w:cs="Times New Roman"/>
              </w:rPr>
              <w:t>楼、</w:t>
            </w:r>
            <w:r>
              <w:rPr>
                <w:rFonts w:hint="eastAsia" w:ascii="Times New Roman" w:hAnsi="Times New Roman" w:cs="Times New Roman"/>
              </w:rPr>
              <w:t>初中教学</w:t>
            </w:r>
            <w:r>
              <w:rPr>
                <w:rFonts w:ascii="Times New Roman" w:hAnsi="Times New Roman" w:cs="Times New Roman"/>
              </w:rPr>
              <w:t>楼、</w:t>
            </w:r>
            <w:r>
              <w:rPr>
                <w:rFonts w:hint="eastAsia" w:ascii="Times New Roman" w:hAnsi="Times New Roman" w:cs="Times New Roman"/>
              </w:rPr>
              <w:t>综合楼</w:t>
            </w:r>
            <w:r>
              <w:rPr>
                <w:rFonts w:ascii="Times New Roman" w:hAnsi="Times New Roman" w:cs="Times New Roman"/>
              </w:rPr>
              <w:t>、</w:t>
            </w:r>
            <w:r>
              <w:rPr>
                <w:rFonts w:hint="eastAsia" w:ascii="Times New Roman" w:hAnsi="Times New Roman" w:cs="Times New Roman"/>
              </w:rPr>
              <w:t>学生午休楼</w:t>
            </w:r>
            <w:r>
              <w:rPr>
                <w:rFonts w:ascii="Times New Roman" w:hAnsi="Times New Roman" w:cs="Times New Roman"/>
              </w:rPr>
              <w:t>、体育</w:t>
            </w:r>
            <w:r>
              <w:rPr>
                <w:rFonts w:hint="eastAsia" w:ascii="Times New Roman" w:hAnsi="Times New Roman" w:cs="Times New Roman"/>
              </w:rPr>
              <w:t>器材室</w:t>
            </w:r>
            <w:r>
              <w:rPr>
                <w:rFonts w:ascii="Times New Roman" w:hAnsi="Times New Roman" w:cs="Times New Roman"/>
              </w:rPr>
              <w:t>、</w:t>
            </w:r>
            <w:r>
              <w:rPr>
                <w:rFonts w:hint="eastAsia" w:ascii="Times New Roman" w:hAnsi="Times New Roman" w:cs="Times New Roman"/>
              </w:rPr>
              <w:t>传达值班室</w:t>
            </w:r>
            <w:r>
              <w:rPr>
                <w:rFonts w:ascii="Times New Roman" w:hAnsi="Times New Roman" w:cs="Times New Roman"/>
              </w:rPr>
              <w:t>、</w:t>
            </w:r>
            <w:r>
              <w:rPr>
                <w:rFonts w:hint="eastAsia" w:ascii="Times New Roman" w:hAnsi="Times New Roman" w:cs="Times New Roman"/>
              </w:rPr>
              <w:t>医疗保健室</w:t>
            </w:r>
            <w:r>
              <w:rPr>
                <w:rFonts w:ascii="Times New Roman" w:hAnsi="Times New Roman" w:cs="Times New Roman"/>
              </w:rPr>
              <w:t>、地下车库、以及田径场、道路、水电、管网、篮球场、校园绿化美化等配套设施。</w:t>
            </w:r>
          </w:p>
          <w:p>
            <w:pPr>
              <w:ind w:firstLine="480" w:firstLineChars="200"/>
              <w:rPr>
                <w:rFonts w:ascii="Times New Roman" w:hAnsi="Times New Roman" w:cs="Times New Roman"/>
              </w:rPr>
            </w:pPr>
            <w:r>
              <w:rPr>
                <w:rFonts w:ascii="Times New Roman" w:hAnsi="Times New Roman" w:cs="Times New Roman"/>
              </w:rPr>
              <w:t>项目主要工程建设内容见表1-1。</w:t>
            </w:r>
          </w:p>
          <w:p>
            <w:pPr>
              <w:jc w:val="center"/>
              <w:rPr>
                <w:rFonts w:ascii="Times New Roman" w:hAnsi="Times New Roman" w:cs="Times New Roman"/>
                <w:b/>
                <w:bCs/>
              </w:rPr>
            </w:pPr>
            <w:r>
              <w:rPr>
                <w:rFonts w:ascii="Times New Roman" w:hAnsi="Times New Roman" w:cs="Times New Roman"/>
                <w:b/>
                <w:bCs/>
              </w:rPr>
              <w:t>表1-1  项目组成一览表</w:t>
            </w:r>
          </w:p>
          <w:tbl>
            <w:tblPr>
              <w:tblStyle w:val="23"/>
              <w:tblW w:w="9070" w:type="dxa"/>
              <w:tblInd w:w="1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2197"/>
              <w:gridCol w:w="618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类别</w:t>
                  </w:r>
                </w:p>
              </w:tc>
              <w:tc>
                <w:tcPr>
                  <w:tcW w:w="1211" w:type="pct"/>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项目名称</w:t>
                  </w:r>
                </w:p>
              </w:tc>
              <w:tc>
                <w:tcPr>
                  <w:tcW w:w="3407" w:type="pct"/>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主要建设内容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主体工程</w:t>
                  </w:r>
                </w:p>
              </w:tc>
              <w:tc>
                <w:tcPr>
                  <w:tcW w:w="1211"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小学教学楼</w:t>
                  </w:r>
                </w:p>
              </w:tc>
              <w:tc>
                <w:tcPr>
                  <w:tcW w:w="3407"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分别为2栋4F建筑和</w:t>
                  </w:r>
                  <w:r>
                    <w:rPr>
                      <w:rFonts w:ascii="Times New Roman" w:hAnsi="Times New Roman" w:cs="Times New Roman"/>
                      <w:sz w:val="21"/>
                      <w:szCs w:val="21"/>
                    </w:rPr>
                    <w:t>1栋5F建筑，</w:t>
                  </w:r>
                  <w:r>
                    <w:rPr>
                      <w:rFonts w:hint="eastAsia" w:ascii="Times New Roman" w:hAnsi="Times New Roman" w:cs="Times New Roman"/>
                      <w:sz w:val="21"/>
                      <w:szCs w:val="21"/>
                    </w:rPr>
                    <w:t>总</w:t>
                  </w:r>
                  <w:r>
                    <w:rPr>
                      <w:rFonts w:ascii="Times New Roman" w:hAnsi="Times New Roman" w:cs="Times New Roman"/>
                      <w:sz w:val="21"/>
                      <w:szCs w:val="21"/>
                    </w:rPr>
                    <w:t>建筑面积约</w:t>
                  </w:r>
                  <w:r>
                    <w:rPr>
                      <w:rFonts w:hint="eastAsia" w:ascii="Times New Roman" w:hAnsi="Times New Roman" w:cs="Times New Roman"/>
                      <w:sz w:val="21"/>
                      <w:szCs w:val="21"/>
                    </w:rPr>
                    <w:t>12540.2</w:t>
                  </w:r>
                  <w:r>
                    <w:rPr>
                      <w:rFonts w:ascii="Times New Roman" w:hAnsi="Times New Roman" w:cs="Times New Roman"/>
                      <w:sz w:val="21"/>
                      <w:szCs w:val="21"/>
                    </w:rPr>
                    <w:t>m</w:t>
                  </w:r>
                  <w:r>
                    <w:rPr>
                      <w:rFonts w:ascii="Times New Roman" w:hAnsi="Times New Roman" w:cs="Times New Roman"/>
                      <w:sz w:val="21"/>
                      <w:szCs w:val="21"/>
                      <w:vertAlign w:val="superscript"/>
                    </w:rPr>
                    <w:t>2</w:t>
                  </w:r>
                  <w:r>
                    <w:rPr>
                      <w:rFonts w:hint="eastAsia" w:ascii="Times New Roman" w:hAnsi="Times New Roman" w:cs="Times New Roman"/>
                      <w:sz w:val="21"/>
                      <w:szCs w:val="21"/>
                    </w:rPr>
                    <w:t>。总体布局向呈“E”型布置，南北向最南侧一栋为综合楼（一至三层为功能性教室（生物实验室、物理实验室、化学实验室位于一二层南侧。）四层主要为行政办公室，五层主要为其他用房，首层北侧设置有多功能报告厅）；中部及北侧两栋为教学楼（一至四层主要为小学普通教室，西侧布置为卫生间及广播室、杂物间等其他用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中学教学</w:t>
                  </w:r>
                  <w:r>
                    <w:rPr>
                      <w:rFonts w:ascii="Times New Roman" w:hAnsi="Times New Roman" w:cs="Times New Roman"/>
                      <w:sz w:val="21"/>
                      <w:szCs w:val="21"/>
                    </w:rPr>
                    <w:t>楼</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为</w:t>
                  </w:r>
                  <w:r>
                    <w:rPr>
                      <w:rFonts w:hint="eastAsia" w:ascii="Times New Roman" w:hAnsi="Times New Roman" w:cs="Times New Roman"/>
                      <w:sz w:val="21"/>
                      <w:szCs w:val="21"/>
                    </w:rPr>
                    <w:t>2</w:t>
                  </w:r>
                  <w:r>
                    <w:rPr>
                      <w:rFonts w:ascii="Times New Roman" w:hAnsi="Times New Roman" w:cs="Times New Roman"/>
                      <w:sz w:val="21"/>
                      <w:szCs w:val="21"/>
                    </w:rPr>
                    <w:t>栋</w:t>
                  </w:r>
                  <w:r>
                    <w:rPr>
                      <w:rFonts w:hint="eastAsia" w:ascii="Times New Roman" w:hAnsi="Times New Roman" w:cs="Times New Roman"/>
                      <w:sz w:val="21"/>
                      <w:szCs w:val="21"/>
                    </w:rPr>
                    <w:t>5</w:t>
                  </w:r>
                  <w:r>
                    <w:rPr>
                      <w:rFonts w:ascii="Times New Roman" w:hAnsi="Times New Roman" w:cs="Times New Roman"/>
                      <w:sz w:val="21"/>
                      <w:szCs w:val="21"/>
                    </w:rPr>
                    <w:t>F建筑，建筑面积约</w:t>
                  </w:r>
                  <w:r>
                    <w:rPr>
                      <w:rFonts w:hint="eastAsia" w:ascii="Times New Roman" w:hAnsi="Times New Roman" w:cs="Times New Roman"/>
                      <w:sz w:val="21"/>
                      <w:szCs w:val="21"/>
                    </w:rPr>
                    <w:t>9108</w:t>
                  </w:r>
                  <w:r>
                    <w:rPr>
                      <w:rFonts w:ascii="Times New Roman" w:hAnsi="Times New Roman" w:cs="Times New Roman"/>
                      <w:sz w:val="21"/>
                      <w:szCs w:val="21"/>
                    </w:rPr>
                    <w:t>m</w:t>
                  </w:r>
                  <w:r>
                    <w:rPr>
                      <w:rFonts w:ascii="Times New Roman" w:hAnsi="Times New Roman" w:cs="Times New Roman"/>
                      <w:sz w:val="21"/>
                      <w:szCs w:val="21"/>
                      <w:vertAlign w:val="superscript"/>
                    </w:rPr>
                    <w:t>2</w:t>
                  </w:r>
                  <w:r>
                    <w:rPr>
                      <w:rFonts w:hint="eastAsia" w:ascii="Times New Roman" w:hAnsi="Times New Roman" w:cs="Times New Roman"/>
                      <w:sz w:val="21"/>
                      <w:szCs w:val="21"/>
                    </w:rPr>
                    <w:t>。总体布局南北向呈“U”型布置，最南侧一栋一至三层主要是中学的功能型教室，四层主要为行政办公室及图书阅览室、五层为中学的功能型教室；最北侧一栋一层为中学的功能型教室，二至五层主要为中学的普通教室，西侧布置为卫生间及广播室、杂物间等其他用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学生午休楼</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为1栋</w:t>
                  </w:r>
                  <w:r>
                    <w:rPr>
                      <w:rFonts w:hint="eastAsia" w:ascii="Times New Roman" w:hAnsi="Times New Roman" w:cs="Times New Roman"/>
                      <w:sz w:val="21"/>
                      <w:szCs w:val="21"/>
                    </w:rPr>
                    <w:t>5</w:t>
                  </w:r>
                  <w:r>
                    <w:rPr>
                      <w:rFonts w:ascii="Times New Roman" w:hAnsi="Times New Roman" w:cs="Times New Roman"/>
                      <w:sz w:val="21"/>
                      <w:szCs w:val="21"/>
                    </w:rPr>
                    <w:t>F建筑，建筑面积约</w:t>
                  </w:r>
                  <w:r>
                    <w:rPr>
                      <w:rFonts w:hint="eastAsia" w:ascii="Times New Roman" w:hAnsi="Times New Roman" w:cs="Times New Roman"/>
                      <w:sz w:val="21"/>
                      <w:szCs w:val="21"/>
                    </w:rPr>
                    <w:t>3987.65</w:t>
                  </w:r>
                  <w:r>
                    <w:rPr>
                      <w:rFonts w:ascii="Times New Roman" w:hAnsi="Times New Roman" w:cs="Times New Roman"/>
                      <w:sz w:val="21"/>
                      <w:szCs w:val="21"/>
                    </w:rPr>
                    <w:t>m</w:t>
                  </w:r>
                  <w:r>
                    <w:rPr>
                      <w:rFonts w:ascii="Times New Roman" w:hAnsi="Times New Roman" w:cs="Times New Roman"/>
                      <w:sz w:val="21"/>
                      <w:szCs w:val="21"/>
                      <w:vertAlign w:val="superscript"/>
                    </w:rPr>
                    <w:t>2</w:t>
                  </w:r>
                  <w:r>
                    <w:rPr>
                      <w:rFonts w:ascii="Times New Roman" w:hAnsi="Times New Roman" w:cs="Times New Roman"/>
                      <w:sz w:val="21"/>
                      <w:szCs w:val="21"/>
                    </w:rPr>
                    <w:t>，主要为</w:t>
                  </w:r>
                  <w:r>
                    <w:rPr>
                      <w:rFonts w:hint="eastAsia" w:ascii="Times New Roman" w:hAnsi="Times New Roman" w:cs="Times New Roman"/>
                      <w:sz w:val="21"/>
                      <w:szCs w:val="21"/>
                    </w:rPr>
                    <w:t>休息</w:t>
                  </w:r>
                  <w:r>
                    <w:rPr>
                      <w:rFonts w:ascii="Times New Roman" w:hAnsi="Times New Roman" w:cs="Times New Roman"/>
                      <w:sz w:val="21"/>
                      <w:szCs w:val="21"/>
                    </w:rPr>
                    <w:t>场所，</w:t>
                  </w:r>
                  <w:r>
                    <w:rPr>
                      <w:rFonts w:hint="eastAsia" w:ascii="Times New Roman" w:hAnsi="Times New Roman" w:cs="Times New Roman"/>
                      <w:sz w:val="21"/>
                      <w:szCs w:val="21"/>
                    </w:rPr>
                    <w:t>一至四层主要为学生午休房，五层主要为教室午休房。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综合楼</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为1栋</w:t>
                  </w:r>
                  <w:r>
                    <w:rPr>
                      <w:rFonts w:hint="eastAsia" w:ascii="Times New Roman" w:hAnsi="Times New Roman" w:cs="Times New Roman"/>
                      <w:sz w:val="21"/>
                      <w:szCs w:val="21"/>
                    </w:rPr>
                    <w:t>3</w:t>
                  </w:r>
                  <w:r>
                    <w:rPr>
                      <w:rFonts w:ascii="Times New Roman" w:hAnsi="Times New Roman" w:cs="Times New Roman"/>
                      <w:sz w:val="21"/>
                      <w:szCs w:val="21"/>
                    </w:rPr>
                    <w:t>F建筑，建筑面积约</w:t>
                  </w:r>
                  <w:r>
                    <w:rPr>
                      <w:rFonts w:hint="eastAsia" w:ascii="Times New Roman" w:hAnsi="Times New Roman" w:cs="Times New Roman"/>
                      <w:sz w:val="21"/>
                      <w:szCs w:val="21"/>
                    </w:rPr>
                    <w:t>5878.06</w:t>
                  </w:r>
                  <w:r>
                    <w:rPr>
                      <w:rFonts w:ascii="Times New Roman" w:hAnsi="Times New Roman" w:cs="Times New Roman"/>
                      <w:sz w:val="21"/>
                      <w:szCs w:val="21"/>
                    </w:rPr>
                    <w:t>m</w:t>
                  </w:r>
                  <w:r>
                    <w:rPr>
                      <w:rFonts w:ascii="Times New Roman" w:hAnsi="Times New Roman" w:cs="Times New Roman"/>
                      <w:sz w:val="21"/>
                      <w:szCs w:val="21"/>
                      <w:vertAlign w:val="superscript"/>
                    </w:rPr>
                    <w:t>2</w:t>
                  </w:r>
                  <w:r>
                    <w:rPr>
                      <w:rFonts w:hint="eastAsia" w:ascii="Times New Roman" w:hAnsi="Times New Roman" w:cs="Times New Roman"/>
                      <w:sz w:val="21"/>
                      <w:szCs w:val="21"/>
                    </w:rPr>
                    <w:t>。一层为小学食堂及厨房，二层为教职工餐厅，三层为室内运动场所。</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田径场及</w:t>
                  </w:r>
                  <w:r>
                    <w:rPr>
                      <w:rFonts w:ascii="Times New Roman" w:hAnsi="Times New Roman" w:cs="Times New Roman"/>
                      <w:sz w:val="21"/>
                      <w:szCs w:val="21"/>
                    </w:rPr>
                    <w:t>2</w:t>
                  </w:r>
                  <w:r>
                    <w:rPr>
                      <w:rFonts w:hint="eastAsia" w:ascii="Times New Roman" w:hAnsi="Times New Roman" w:cs="Times New Roman"/>
                      <w:sz w:val="21"/>
                      <w:szCs w:val="21"/>
                    </w:rPr>
                    <w:t>5</w:t>
                  </w:r>
                  <w:r>
                    <w:rPr>
                      <w:rFonts w:ascii="Times New Roman" w:hAnsi="Times New Roman" w:cs="Times New Roman"/>
                      <w:sz w:val="21"/>
                      <w:szCs w:val="21"/>
                    </w:rPr>
                    <w:t>0M</w:t>
                  </w:r>
                  <w:r>
                    <w:rPr>
                      <w:rFonts w:hint="eastAsia" w:ascii="Times New Roman" w:hAnsi="Times New Roman" w:cs="Times New Roman"/>
                      <w:sz w:val="21"/>
                      <w:szCs w:val="21"/>
                    </w:rPr>
                    <w:t>环形</w:t>
                  </w:r>
                  <w:r>
                    <w:rPr>
                      <w:rFonts w:ascii="Times New Roman" w:hAnsi="Times New Roman" w:cs="Times New Roman"/>
                      <w:sz w:val="21"/>
                      <w:szCs w:val="21"/>
                    </w:rPr>
                    <w:t>运动场</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位于学校西南角，配有体育器材室（建筑面积为72.53m</w:t>
                  </w:r>
                  <w:r>
                    <w:rPr>
                      <w:rFonts w:hint="eastAsia" w:ascii="Times New Roman" w:hAnsi="Times New Roman" w:cs="Times New Roman"/>
                      <w:sz w:val="21"/>
                      <w:szCs w:val="21"/>
                      <w:vertAlign w:val="superscript"/>
                    </w:rPr>
                    <w:t>2</w:t>
                  </w: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篮球场</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修建标准</w:t>
                  </w:r>
                  <w:r>
                    <w:rPr>
                      <w:rFonts w:hint="eastAsia" w:ascii="Times New Roman" w:hAnsi="Times New Roman" w:cs="Times New Roman"/>
                      <w:sz w:val="21"/>
                      <w:szCs w:val="21"/>
                    </w:rPr>
                    <w:t>篮球</w:t>
                  </w:r>
                  <w:r>
                    <w:rPr>
                      <w:rFonts w:ascii="Times New Roman" w:hAnsi="Times New Roman" w:cs="Times New Roman"/>
                      <w:sz w:val="21"/>
                      <w:szCs w:val="21"/>
                    </w:rPr>
                    <w:t>场</w:t>
                  </w:r>
                  <w:r>
                    <w:rPr>
                      <w:rFonts w:hint="eastAsia" w:ascii="Times New Roman" w:hAnsi="Times New Roman" w:cs="Times New Roman"/>
                      <w:sz w:val="21"/>
                      <w:szCs w:val="21"/>
                    </w:rPr>
                    <w:t>3</w:t>
                  </w:r>
                  <w:r>
                    <w:rPr>
                      <w:rFonts w:ascii="Times New Roman" w:hAnsi="Times New Roman" w:cs="Times New Roman"/>
                      <w:sz w:val="21"/>
                      <w:szCs w:val="21"/>
                    </w:rPr>
                    <w:t>个，</w:t>
                  </w:r>
                  <w:r>
                    <w:rPr>
                      <w:rFonts w:hint="eastAsia" w:ascii="Times New Roman" w:hAnsi="Times New Roman" w:cs="Times New Roman"/>
                      <w:sz w:val="21"/>
                      <w:szCs w:val="21"/>
                    </w:rPr>
                    <w:t>位于学校的西北角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传达值班</w:t>
                  </w:r>
                  <w:r>
                    <w:rPr>
                      <w:rFonts w:ascii="Times New Roman" w:hAnsi="Times New Roman" w:cs="Times New Roman"/>
                      <w:sz w:val="21"/>
                      <w:szCs w:val="21"/>
                    </w:rPr>
                    <w:t>室</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设置于人行主出入口，</w:t>
                  </w:r>
                  <w:r>
                    <w:rPr>
                      <w:rFonts w:ascii="Times New Roman" w:hAnsi="Times New Roman" w:cs="Times New Roman"/>
                      <w:sz w:val="21"/>
                      <w:szCs w:val="21"/>
                    </w:rPr>
                    <w:t>门卫室建筑面积约为</w:t>
                  </w:r>
                  <w:r>
                    <w:rPr>
                      <w:rFonts w:hint="eastAsia" w:ascii="Times New Roman" w:hAnsi="Times New Roman" w:cs="Times New Roman"/>
                      <w:sz w:val="21"/>
                      <w:szCs w:val="21"/>
                    </w:rPr>
                    <w:t>67.5</w:t>
                  </w:r>
                  <w:r>
                    <w:rPr>
                      <w:rFonts w:ascii="Times New Roman" w:hAnsi="Times New Roman" w:cs="Times New Roman"/>
                      <w:sz w:val="21"/>
                      <w:szCs w:val="21"/>
                    </w:rPr>
                    <w:t>m</w:t>
                  </w:r>
                  <w:r>
                    <w:rPr>
                      <w:rFonts w:ascii="Times New Roman" w:hAnsi="Times New Roman" w:cs="Times New Roman"/>
                      <w:sz w:val="21"/>
                      <w:szCs w:val="21"/>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辅助工程</w:t>
                  </w: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地下车库</w:t>
                  </w:r>
                  <w:r>
                    <w:rPr>
                      <w:rFonts w:hint="eastAsia" w:ascii="Times New Roman" w:hAnsi="Times New Roman" w:cs="Times New Roman"/>
                      <w:sz w:val="21"/>
                      <w:szCs w:val="21"/>
                    </w:rPr>
                    <w:t>及设备用房</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位于地下，地下车位约</w:t>
                  </w:r>
                  <w:r>
                    <w:rPr>
                      <w:rFonts w:hint="eastAsia" w:ascii="Times New Roman" w:hAnsi="Times New Roman" w:cs="Times New Roman"/>
                      <w:sz w:val="21"/>
                      <w:szCs w:val="21"/>
                    </w:rPr>
                    <w:t>184</w:t>
                  </w:r>
                  <w:r>
                    <w:rPr>
                      <w:rFonts w:ascii="Times New Roman" w:hAnsi="Times New Roman" w:cs="Times New Roman"/>
                      <w:sz w:val="21"/>
                      <w:szCs w:val="21"/>
                    </w:rPr>
                    <w:t>个，建筑面积约</w:t>
                  </w:r>
                  <w:r>
                    <w:rPr>
                      <w:rFonts w:hint="eastAsia" w:ascii="Times New Roman" w:hAnsi="Times New Roman" w:cs="Times New Roman"/>
                      <w:sz w:val="21"/>
                      <w:szCs w:val="21"/>
                    </w:rPr>
                    <w:t>6122.19</w:t>
                  </w:r>
                  <w:r>
                    <w:rPr>
                      <w:rFonts w:ascii="Times New Roman" w:hAnsi="Times New Roman" w:cs="Times New Roman"/>
                      <w:sz w:val="21"/>
                      <w:szCs w:val="21"/>
                    </w:rPr>
                    <w:t>m</w:t>
                  </w:r>
                  <w:r>
                    <w:rPr>
                      <w:rFonts w:ascii="Times New Roman" w:hAnsi="Times New Roman" w:cs="Times New Roman"/>
                      <w:sz w:val="21"/>
                      <w:szCs w:val="21"/>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舞台</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靠近田径场东侧，建筑面积约160.0m</w:t>
                  </w:r>
                  <w:r>
                    <w:rPr>
                      <w:rFonts w:hint="eastAsia" w:ascii="Times New Roman" w:hAnsi="Times New Roman" w:cs="Times New Roman"/>
                      <w:sz w:val="21"/>
                      <w:szCs w:val="21"/>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公用工程</w:t>
                  </w: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给水</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接入市政给水管网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排水</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本项目实行雨污分流制</w:t>
                  </w:r>
                </w:p>
                <w:p>
                  <w:pPr>
                    <w:spacing w:line="240" w:lineRule="auto"/>
                    <w:jc w:val="center"/>
                    <w:rPr>
                      <w:rFonts w:ascii="Times New Roman" w:hAnsi="Times New Roman" w:cs="Times New Roman"/>
                      <w:sz w:val="21"/>
                      <w:szCs w:val="21"/>
                    </w:rPr>
                  </w:pPr>
                  <w:r>
                    <w:rPr>
                      <w:rFonts w:hint="eastAsia" w:cs="Times New Roman" w:asciiTheme="minorEastAsia" w:hAnsiTheme="minorEastAsia"/>
                      <w:sz w:val="21"/>
                      <w:szCs w:val="21"/>
                    </w:rPr>
                    <w:t>①</w:t>
                  </w:r>
                  <w:r>
                    <w:rPr>
                      <w:rFonts w:hint="eastAsia" w:ascii="Times New Roman" w:hAnsi="Times New Roman" w:cs="Times New Roman"/>
                      <w:sz w:val="21"/>
                      <w:szCs w:val="21"/>
                    </w:rPr>
                    <w:t>雨水：</w:t>
                  </w:r>
                  <w:r>
                    <w:rPr>
                      <w:rFonts w:ascii="Times New Roman" w:hAnsi="Times New Roman" w:cs="Times New Roman"/>
                      <w:sz w:val="21"/>
                      <w:szCs w:val="21"/>
                    </w:rPr>
                    <w:t>本项目在拟场地</w:t>
                  </w:r>
                  <w:r>
                    <w:rPr>
                      <w:rFonts w:hint="eastAsia" w:ascii="Times New Roman" w:hAnsi="Times New Roman" w:cs="Times New Roman"/>
                      <w:sz w:val="21"/>
                      <w:szCs w:val="21"/>
                    </w:rPr>
                    <w:t>北侧设置</w:t>
                  </w:r>
                  <w:r>
                    <w:rPr>
                      <w:rFonts w:ascii="Times New Roman" w:hAnsi="Times New Roman" w:cs="Times New Roman"/>
                      <w:sz w:val="21"/>
                      <w:szCs w:val="21"/>
                    </w:rPr>
                    <w:t>雨水收集池(50m</w:t>
                  </w:r>
                  <w:r>
                    <w:rPr>
                      <w:rFonts w:ascii="Times New Roman" w:hAnsi="Times New Roman" w:cs="Times New Roman"/>
                      <w:sz w:val="21"/>
                      <w:szCs w:val="21"/>
                      <w:vertAlign w:val="superscript"/>
                    </w:rPr>
                    <w:t>3</w:t>
                  </w:r>
                  <w:r>
                    <w:rPr>
                      <w:rFonts w:ascii="Times New Roman" w:hAnsi="Times New Roman" w:cs="Times New Roman"/>
                      <w:sz w:val="21"/>
                      <w:szCs w:val="21"/>
                    </w:rPr>
                    <w:t>)，雨水收集池收集后的雨水经过初期</w:t>
                  </w:r>
                  <w:r>
                    <w:rPr>
                      <w:rFonts w:hint="eastAsia" w:ascii="Times New Roman" w:hAnsi="Times New Roman" w:cs="Times New Roman"/>
                      <w:sz w:val="21"/>
                      <w:szCs w:val="21"/>
                    </w:rPr>
                    <w:t>截流、</w:t>
                  </w:r>
                  <w:r>
                    <w:rPr>
                      <w:rFonts w:ascii="Times New Roman" w:hAnsi="Times New Roman" w:cs="Times New Roman"/>
                      <w:sz w:val="21"/>
                      <w:szCs w:val="21"/>
                    </w:rPr>
                    <w:t>弃流、过滤处理后用于场地内的绿地灌溉、景观水体补水等。</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②污水：实验室废水（化学实验室废水经实验室废水处理设施处理；生物实验室废水经消毒沉淀池处理），与生活污水、食堂废水（经隔油沉淀池处理后）一同进入化粪池，然后</w:t>
                  </w:r>
                  <w:r>
                    <w:rPr>
                      <w:rFonts w:ascii="Times New Roman" w:hAnsi="Times New Roman" w:cs="Times New Roman"/>
                      <w:sz w:val="21"/>
                      <w:szCs w:val="21"/>
                    </w:rPr>
                    <w:t xml:space="preserve"> I</w:t>
                  </w:r>
                  <w:r>
                    <w:rPr>
                      <w:rFonts w:hint="eastAsia" w:ascii="Times New Roman" w:hAnsi="Times New Roman" w:cs="Times New Roman"/>
                      <w:sz w:val="21"/>
                      <w:szCs w:val="21"/>
                    </w:rPr>
                    <w:t>、</w:t>
                  </w:r>
                  <w:r>
                    <w:rPr>
                      <w:rFonts w:ascii="Times New Roman" w:hAnsi="Times New Roman" w:cs="Times New Roman"/>
                      <w:sz w:val="21"/>
                      <w:szCs w:val="21"/>
                    </w:rPr>
                    <w:t>在污水</w:t>
                  </w:r>
                  <w:r>
                    <w:rPr>
                      <w:rFonts w:hint="eastAsia" w:ascii="Times New Roman" w:hAnsi="Times New Roman" w:cs="Times New Roman"/>
                      <w:sz w:val="21"/>
                      <w:szCs w:val="21"/>
                    </w:rPr>
                    <w:t>管网接通污水处理厂</w:t>
                  </w:r>
                  <w:r>
                    <w:rPr>
                      <w:rFonts w:ascii="Times New Roman" w:hAnsi="Times New Roman" w:cs="Times New Roman"/>
                      <w:sz w:val="21"/>
                      <w:szCs w:val="21"/>
                    </w:rPr>
                    <w:t>前先经</w:t>
                  </w:r>
                  <w:r>
                    <w:rPr>
                      <w:rFonts w:hint="eastAsia" w:ascii="Times New Roman" w:hAnsi="Times New Roman" w:cs="Times New Roman"/>
                      <w:sz w:val="21"/>
                      <w:szCs w:val="21"/>
                    </w:rPr>
                    <w:t>自建污水处理站</w:t>
                  </w:r>
                  <w:r>
                    <w:rPr>
                      <w:rFonts w:ascii="Times New Roman" w:hAnsi="Times New Roman" w:cs="Times New Roman"/>
                      <w:sz w:val="21"/>
                      <w:szCs w:val="21"/>
                    </w:rPr>
                    <w:t>处理</w:t>
                  </w:r>
                  <w:r>
                    <w:rPr>
                      <w:rFonts w:hint="eastAsia" w:ascii="Times New Roman" w:hAnsi="Times New Roman" w:cs="Times New Roman"/>
                      <w:sz w:val="21"/>
                      <w:szCs w:val="21"/>
                    </w:rPr>
                    <w:t>达标</w:t>
                  </w:r>
                  <w:r>
                    <w:rPr>
                      <w:rFonts w:ascii="Times New Roman" w:hAnsi="Times New Roman" w:cs="Times New Roman"/>
                      <w:sz w:val="21"/>
                      <w:szCs w:val="21"/>
                    </w:rPr>
                    <w:t>后</w:t>
                  </w:r>
                  <w:r>
                    <w:rPr>
                      <w:rFonts w:hint="eastAsia" w:ascii="Times New Roman" w:hAnsi="Times New Roman" w:cs="Times New Roman"/>
                      <w:sz w:val="21"/>
                      <w:szCs w:val="21"/>
                    </w:rPr>
                    <w:t>排至北港河</w:t>
                  </w:r>
                  <w:r>
                    <w:rPr>
                      <w:rFonts w:ascii="Times New Roman" w:hAnsi="Times New Roman" w:cs="Times New Roman"/>
                      <w:sz w:val="21"/>
                      <w:szCs w:val="21"/>
                    </w:rPr>
                    <w:t>，最后进入</w:t>
                  </w:r>
                  <w:r>
                    <w:rPr>
                      <w:rFonts w:hint="eastAsia" w:ascii="Times New Roman" w:hAnsi="Times New Roman" w:cs="Times New Roman"/>
                      <w:sz w:val="21"/>
                      <w:szCs w:val="21"/>
                    </w:rPr>
                    <w:t>南湖；Ⅱ、</w:t>
                  </w:r>
                  <w:r>
                    <w:rPr>
                      <w:rFonts w:ascii="Times New Roman" w:hAnsi="Times New Roman" w:cs="Times New Roman"/>
                      <w:sz w:val="21"/>
                      <w:szCs w:val="21"/>
                    </w:rPr>
                    <w:t>在污水</w:t>
                  </w:r>
                  <w:r>
                    <w:rPr>
                      <w:rFonts w:hint="eastAsia" w:ascii="Times New Roman" w:hAnsi="Times New Roman" w:cs="Times New Roman"/>
                      <w:sz w:val="21"/>
                      <w:szCs w:val="21"/>
                    </w:rPr>
                    <w:t>管网接通罗家坡污水处理厂后</w:t>
                  </w:r>
                  <w:r>
                    <w:rPr>
                      <w:rFonts w:ascii="Times New Roman" w:hAnsi="Times New Roman" w:cs="Times New Roman"/>
                      <w:sz w:val="21"/>
                      <w:szCs w:val="21"/>
                    </w:rPr>
                    <w:t>，经污水管网进入</w:t>
                  </w:r>
                  <w:r>
                    <w:rPr>
                      <w:rFonts w:hint="eastAsia" w:ascii="Times New Roman" w:hAnsi="Times New Roman" w:cs="Times New Roman"/>
                      <w:sz w:val="21"/>
                      <w:szCs w:val="21"/>
                    </w:rPr>
                    <w:t>罗家坡污水</w:t>
                  </w:r>
                  <w:r>
                    <w:rPr>
                      <w:rFonts w:ascii="Times New Roman" w:hAnsi="Times New Roman" w:cs="Times New Roman"/>
                      <w:sz w:val="21"/>
                      <w:szCs w:val="21"/>
                    </w:rPr>
                    <w:t>处理厂处理，</w:t>
                  </w:r>
                  <w:r>
                    <w:rPr>
                      <w:rFonts w:hint="eastAsia" w:ascii="Times New Roman" w:hAnsi="Times New Roman" w:cs="Times New Roman"/>
                      <w:sz w:val="21"/>
                      <w:szCs w:val="21"/>
                    </w:rPr>
                    <w:t>处理达标后排至北港河，最终进入南湖。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供电</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接入市政供电网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能源</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本项目不设置中央空调，所有能源均采用电能及天然气</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环保工程</w:t>
                  </w: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废气</w:t>
                  </w:r>
                </w:p>
              </w:tc>
              <w:tc>
                <w:tcPr>
                  <w:tcW w:w="3407" w:type="pct"/>
                  <w:tcBorders>
                    <w:tl2br w:val="nil"/>
                    <w:tr2bl w:val="nil"/>
                  </w:tcBorders>
                  <w:vAlign w:val="center"/>
                </w:tcPr>
                <w:p>
                  <w:pPr>
                    <w:spacing w:line="240" w:lineRule="auto"/>
                    <w:rPr>
                      <w:rFonts w:ascii="Times New Roman" w:hAnsi="Times New Roman" w:cs="Times New Roman"/>
                      <w:sz w:val="21"/>
                      <w:szCs w:val="21"/>
                    </w:rPr>
                  </w:pPr>
                  <w:r>
                    <w:rPr>
                      <w:rFonts w:hint="eastAsia" w:ascii="Times New Roman" w:hAnsi="Times New Roman" w:cs="Times New Roman"/>
                      <w:sz w:val="21"/>
                      <w:szCs w:val="21"/>
                    </w:rPr>
                    <w:t>施工期：扬尘通过</w:t>
                  </w:r>
                  <w:r>
                    <w:rPr>
                      <w:rFonts w:ascii="Times New Roman" w:hAnsi="Times New Roman" w:cs="Times New Roman"/>
                      <w:sz w:val="21"/>
                      <w:szCs w:val="21"/>
                    </w:rPr>
                    <w:t>围墙、防尘布、洒水、清扫</w:t>
                  </w:r>
                  <w:r>
                    <w:rPr>
                      <w:rFonts w:hint="eastAsia" w:ascii="Times New Roman" w:hAnsi="Times New Roman" w:cs="Times New Roman"/>
                      <w:sz w:val="21"/>
                      <w:szCs w:val="21"/>
                    </w:rPr>
                    <w:t>等措施处理。</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营运期：食堂油烟通过</w:t>
                  </w:r>
                  <w:r>
                    <w:rPr>
                      <w:rFonts w:ascii="Times New Roman" w:hAnsi="Times New Roman" w:cs="Times New Roman"/>
                      <w:sz w:val="21"/>
                      <w:szCs w:val="21"/>
                    </w:rPr>
                    <w:t>油烟净化系统</w:t>
                  </w:r>
                  <w:r>
                    <w:rPr>
                      <w:rFonts w:hint="eastAsia" w:ascii="Times New Roman" w:hAnsi="Times New Roman" w:cs="Times New Roman"/>
                      <w:sz w:val="21"/>
                      <w:szCs w:val="21"/>
                    </w:rPr>
                    <w:t>处理，实验室废气由</w:t>
                  </w:r>
                  <w:r>
                    <w:rPr>
                      <w:rFonts w:ascii="Times New Roman" w:hAnsi="Times New Roman" w:cs="Times New Roman"/>
                      <w:sz w:val="21"/>
                      <w:szCs w:val="21"/>
                    </w:rPr>
                    <w:t>通风橱</w:t>
                  </w:r>
                  <w:r>
                    <w:rPr>
                      <w:rFonts w:hint="eastAsia" w:ascii="Times New Roman" w:hAnsi="Times New Roman" w:cs="Times New Roman"/>
                      <w:sz w:val="21"/>
                      <w:szCs w:val="21"/>
                    </w:rPr>
                    <w:t>、</w:t>
                  </w:r>
                  <w:r>
                    <w:rPr>
                      <w:rFonts w:ascii="Times New Roman" w:hAnsi="Times New Roman" w:cs="Times New Roman"/>
                      <w:sz w:val="21"/>
                      <w:szCs w:val="21"/>
                    </w:rPr>
                    <w:t>竖井</w:t>
                  </w:r>
                  <w:r>
                    <w:rPr>
                      <w:rFonts w:hint="eastAsia" w:ascii="Times New Roman" w:hAnsi="Times New Roman" w:cs="Times New Roman"/>
                      <w:sz w:val="21"/>
                      <w:szCs w:val="21"/>
                    </w:rPr>
                    <w:t>处理，地下车库废气由</w:t>
                  </w:r>
                  <w:r>
                    <w:rPr>
                      <w:rFonts w:ascii="Times New Roman" w:hAnsi="Times New Roman" w:cs="Times New Roman"/>
                      <w:sz w:val="21"/>
                      <w:szCs w:val="21"/>
                    </w:rPr>
                    <w:t>排烟系统</w:t>
                  </w:r>
                  <w:r>
                    <w:rPr>
                      <w:rFonts w:hint="eastAsia" w:ascii="Times New Roman" w:hAnsi="Times New Roman" w:cs="Times New Roman"/>
                      <w:sz w:val="21"/>
                      <w:szCs w:val="21"/>
                    </w:rPr>
                    <w:t>处理，污水处理站臭气通过投加除臭剂及周边绿化吸收处理。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废水</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施工期：生活污水由临时化粪池收集，统一由市政单位外运；施工废水由隔油沉淀池预处理后回用于施工，洒水等。</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营运期：食堂废水经隔油沉淀池处理，化学实验室废水经实验室废水处理设施处理，生物实验室废水经消毒沉淀池处理，以上废水与物理实验室废水、生活污水一同进入化粪池处理。</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然后：污水管网未接通罗家坡污水处理厂之前，废水经自建污水处理站处理达标后，排入北港河，最终排入南湖；污水管网接通罗家坡污水处理厂之后，由市政管网进入罗家坡污水处理厂，经处理达标后排入北港河，最终排入南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噪声</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设备减震、隔声、消声、绿化工程等，隔声门窗建设</w:t>
                  </w: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8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1"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固废</w:t>
                  </w:r>
                </w:p>
              </w:tc>
              <w:tc>
                <w:tcPr>
                  <w:tcW w:w="3407"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施工期：生活垃圾由市政单位外运，建筑垃圾、弃土统一收集运往政府指定场所处置</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营运期：生活垃圾由</w:t>
                  </w:r>
                  <w:r>
                    <w:rPr>
                      <w:rFonts w:ascii="Times New Roman" w:hAnsi="Times New Roman" w:cs="Times New Roman"/>
                      <w:sz w:val="21"/>
                      <w:szCs w:val="21"/>
                    </w:rPr>
                    <w:t>垃圾桶</w:t>
                  </w:r>
                  <w:r>
                    <w:rPr>
                      <w:rFonts w:hint="eastAsia" w:ascii="Times New Roman" w:hAnsi="Times New Roman" w:cs="Times New Roman"/>
                      <w:sz w:val="21"/>
                      <w:szCs w:val="21"/>
                    </w:rPr>
                    <w:t>收集，统一由垃圾收集船收集后外运，餐厨垃圾收集后统一外售，实验室废物如废酸、废碱、废包装容器、实验室清洗废液、生物培养基、实验室危废污泥、医疗废物等暂存于危废暂存间(位于中学教学楼南面1</w:t>
                  </w:r>
                  <w:r>
                    <w:rPr>
                      <w:rFonts w:ascii="Times New Roman" w:hAnsi="Times New Roman" w:cs="Times New Roman"/>
                      <w:sz w:val="21"/>
                      <w:szCs w:val="21"/>
                    </w:rPr>
                    <w:t>F</w:t>
                  </w:r>
                  <w:r>
                    <w:rPr>
                      <w:rFonts w:hint="eastAsia" w:ascii="Times New Roman" w:hAnsi="Times New Roman" w:cs="Times New Roman"/>
                      <w:sz w:val="21"/>
                      <w:szCs w:val="21"/>
                    </w:rPr>
                    <w:t>，</w:t>
                  </w:r>
                  <w:r>
                    <w:rPr>
                      <w:rFonts w:ascii="Times New Roman" w:hAnsi="Times New Roman" w:cs="Times New Roman"/>
                      <w:sz w:val="21"/>
                      <w:szCs w:val="21"/>
                    </w:rPr>
                    <w:t>41.1m</w:t>
                  </w:r>
                  <w:r>
                    <w:rPr>
                      <w:rFonts w:ascii="Times New Roman" w:hAnsi="Times New Roman" w:cs="Times New Roman"/>
                      <w:sz w:val="21"/>
                      <w:szCs w:val="21"/>
                      <w:vertAlign w:val="superscript"/>
                    </w:rPr>
                    <w:t>2</w:t>
                  </w:r>
                  <w:r>
                    <w:rPr>
                      <w:rFonts w:ascii="Times New Roman" w:hAnsi="Times New Roman" w:cs="Times New Roman"/>
                      <w:sz w:val="21"/>
                      <w:szCs w:val="21"/>
                    </w:rPr>
                    <w:t>)</w:t>
                  </w:r>
                  <w:r>
                    <w:rPr>
                      <w:rFonts w:hint="eastAsia" w:ascii="Times New Roman" w:hAnsi="Times New Roman" w:cs="Times New Roman"/>
                      <w:sz w:val="21"/>
                      <w:szCs w:val="21"/>
                    </w:rPr>
                    <w:t>。</w:t>
                  </w:r>
                </w:p>
              </w:tc>
            </w:tr>
          </w:tbl>
          <w:p>
            <w:pPr>
              <w:ind w:firstLine="480" w:firstLineChars="200"/>
              <w:rPr>
                <w:rFonts w:ascii="Times New Roman" w:hAnsi="Times New Roman" w:cs="Times New Roman"/>
              </w:rPr>
            </w:pPr>
            <w:r>
              <w:rPr>
                <w:rFonts w:ascii="Times New Roman" w:hAnsi="Times New Roman" w:cs="Times New Roman"/>
              </w:rPr>
              <w:t>项目主要经济技术指标见表1-2。</w:t>
            </w:r>
          </w:p>
          <w:p>
            <w:pPr>
              <w:jc w:val="center"/>
              <w:rPr>
                <w:rFonts w:ascii="Times New Roman" w:hAnsi="Times New Roman" w:cs="Times New Roman"/>
                <w:b/>
                <w:bCs/>
              </w:rPr>
            </w:pPr>
            <w:r>
              <w:rPr>
                <w:rFonts w:ascii="Times New Roman" w:hAnsi="Times New Roman" w:cs="Times New Roman"/>
                <w:b/>
                <w:bCs/>
              </w:rPr>
              <w:t>表1-2  项目主要经济技术指标一览表</w:t>
            </w:r>
          </w:p>
          <w:tbl>
            <w:tblPr>
              <w:tblStyle w:val="23"/>
              <w:tblW w:w="0" w:type="auto"/>
              <w:tblInd w:w="1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2994"/>
              <w:gridCol w:w="1021"/>
              <w:gridCol w:w="1772"/>
              <w:gridCol w:w="222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序号</w:t>
                  </w:r>
                </w:p>
              </w:tc>
              <w:tc>
                <w:tcPr>
                  <w:tcW w:w="3000" w:type="dxa"/>
                  <w:tcBorders>
                    <w:bottom w:val="single" w:color="auto" w:sz="12" w:space="0"/>
                  </w:tcBorders>
                  <w:vAlign w:val="center"/>
                </w:tcPr>
                <w:p>
                  <w:pPr>
                    <w:spacing w:line="240" w:lineRule="auto"/>
                    <w:ind w:right="230" w:rightChars="96"/>
                    <w:jc w:val="center"/>
                    <w:rPr>
                      <w:rFonts w:ascii="Times New Roman" w:hAnsi="Times New Roman" w:cs="Times New Roman"/>
                      <w:b/>
                      <w:bCs/>
                      <w:sz w:val="21"/>
                      <w:szCs w:val="21"/>
                    </w:rPr>
                  </w:pPr>
                  <w:r>
                    <w:rPr>
                      <w:rFonts w:ascii="Times New Roman" w:hAnsi="Times New Roman" w:cs="Times New Roman"/>
                      <w:b/>
                      <w:bCs/>
                      <w:sz w:val="21"/>
                      <w:szCs w:val="21"/>
                    </w:rPr>
                    <w:t>名称</w:t>
                  </w:r>
                </w:p>
              </w:tc>
              <w:tc>
                <w:tcPr>
                  <w:tcW w:w="1023"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单位</w:t>
                  </w:r>
                </w:p>
              </w:tc>
              <w:tc>
                <w:tcPr>
                  <w:tcW w:w="1774"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数量</w:t>
                  </w:r>
                </w:p>
              </w:tc>
              <w:tc>
                <w:tcPr>
                  <w:tcW w:w="2227"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3000" w:type="dxa"/>
                  <w:tcBorders>
                    <w:top w:val="single" w:color="auto" w:sz="12" w:space="0"/>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总占地面积</w:t>
                  </w:r>
                </w:p>
              </w:tc>
              <w:tc>
                <w:tcPr>
                  <w:tcW w:w="1023"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40136.16</w:t>
                  </w:r>
                </w:p>
              </w:tc>
              <w:tc>
                <w:tcPr>
                  <w:tcW w:w="2227"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60.2（亩）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总建筑面积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38007.35</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建筑基地总面积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8799</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计容面积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31725.16</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hint="eastAsia" w:ascii="Times New Roman" w:hAnsi="Times New Roman" w:cs="Times New Roman"/>
                      <w:sz w:val="21"/>
                      <w:szCs w:val="21"/>
                    </w:rPr>
                    <w:t>不计容建筑面积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m</w:t>
                  </w:r>
                  <w:r>
                    <w:rPr>
                      <w:rFonts w:hint="eastAsia"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6282.19</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代征城市道路面积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22189</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绿化面积</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14068.89</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容积率</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0.79</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9</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建筑密度</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21.92</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绿地率</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35.05</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11</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班级数量</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个</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54</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学生人数</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人</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2520</w:t>
                  </w:r>
                </w:p>
              </w:tc>
              <w:tc>
                <w:tcPr>
                  <w:tcW w:w="2227"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初中部住宿（9</w:t>
                  </w:r>
                  <w:r>
                    <w:rPr>
                      <w:rFonts w:ascii="Times New Roman" w:hAnsi="Times New Roman" w:eastAsia="宋体" w:cs="Times New Roman"/>
                      <w:sz w:val="21"/>
                      <w:szCs w:val="21"/>
                    </w:rPr>
                    <w:t>00</w:t>
                  </w:r>
                  <w:r>
                    <w:rPr>
                      <w:rFonts w:hint="eastAsia" w:ascii="Times New Roman" w:hAnsi="Times New Roman" w:eastAsia="宋体" w:cs="Times New Roman"/>
                      <w:sz w:val="21"/>
                      <w:szCs w:val="21"/>
                    </w:rPr>
                    <w:t>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13</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ascii="Times New Roman" w:hAnsi="Times New Roman" w:cs="Times New Roman"/>
                      <w:sz w:val="21"/>
                      <w:szCs w:val="21"/>
                    </w:rPr>
                    <w:t>教职工人数</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人</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170</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4</w:t>
                  </w:r>
                </w:p>
              </w:tc>
              <w:tc>
                <w:tcPr>
                  <w:tcW w:w="3000" w:type="dxa"/>
                  <w:tcBorders>
                    <w:tl2br w:val="nil"/>
                    <w:tr2bl w:val="nil"/>
                  </w:tcBorders>
                  <w:vAlign w:val="center"/>
                </w:tcPr>
                <w:p>
                  <w:pPr>
                    <w:spacing w:line="240" w:lineRule="auto"/>
                    <w:ind w:right="230" w:rightChars="96"/>
                    <w:jc w:val="center"/>
                    <w:rPr>
                      <w:rFonts w:ascii="Times New Roman" w:hAnsi="Times New Roman" w:cs="Times New Roman"/>
                      <w:sz w:val="21"/>
                      <w:szCs w:val="21"/>
                    </w:rPr>
                  </w:pPr>
                  <w:r>
                    <w:rPr>
                      <w:rFonts w:hint="eastAsia" w:ascii="Times New Roman" w:hAnsi="Times New Roman" w:cs="Times New Roman"/>
                      <w:sz w:val="21"/>
                      <w:szCs w:val="21"/>
                    </w:rPr>
                    <w:t>停车位</w:t>
                  </w:r>
                </w:p>
              </w:tc>
              <w:tc>
                <w:tcPr>
                  <w:tcW w:w="1023"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个</w:t>
                  </w:r>
                </w:p>
              </w:tc>
              <w:tc>
                <w:tcPr>
                  <w:tcW w:w="177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184</w:t>
                  </w:r>
                </w:p>
              </w:tc>
              <w:tc>
                <w:tcPr>
                  <w:tcW w:w="222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地下</w:t>
                  </w:r>
                </w:p>
              </w:tc>
            </w:tr>
          </w:tbl>
          <w:p>
            <w:pPr>
              <w:ind w:firstLine="480" w:firstLineChars="200"/>
              <w:rPr>
                <w:rFonts w:ascii="Times New Roman" w:hAnsi="Times New Roman" w:cs="Times New Roman"/>
              </w:rPr>
            </w:pPr>
            <w:r>
              <w:rPr>
                <w:rFonts w:ascii="Times New Roman" w:hAnsi="Times New Roman" w:cs="Times New Roman"/>
              </w:rPr>
              <w:t>本次环评考虑到本项目主要功能为教学，故本环评要求建设单位不得在项目附属建筑物内设置建设酒店、居民住宅区、KTV等场所。</w:t>
            </w:r>
          </w:p>
          <w:p>
            <w:pPr>
              <w:pStyle w:val="5"/>
              <w:ind w:firstLine="562"/>
              <w:outlineLvl w:val="1"/>
            </w:pPr>
            <w:bookmarkStart w:id="5" w:name="_Toc34059477"/>
            <w:r>
              <w:t>4、总平面布置</w:t>
            </w:r>
            <w:bookmarkEnd w:id="5"/>
          </w:p>
          <w:p>
            <w:pPr>
              <w:ind w:firstLine="480" w:firstLineChars="200"/>
              <w:rPr>
                <w:rFonts w:ascii="Times New Roman" w:hAnsi="Times New Roman" w:cs="Times New Roman"/>
              </w:rPr>
            </w:pPr>
            <w:r>
              <w:rPr>
                <w:rFonts w:ascii="Times New Roman" w:hAnsi="Times New Roman" w:cs="Times New Roman"/>
              </w:rPr>
              <w:t>根据项目平面布置图，本次规划充分利用了地形，尽可能拓宽现有空间的使用效率，巧妙的进行了房屋的空间组合，节约用地，增大了绿化和环境空间以及学生活动场地，极大的改善了学生的学习生活质量。</w:t>
            </w:r>
            <w:r>
              <w:rPr>
                <w:rFonts w:hint="eastAsia" w:ascii="Times New Roman" w:hAnsi="Times New Roman" w:cs="Times New Roman"/>
              </w:rPr>
              <w:t>木里港学校规划为教学区、运动区、生活区三个功能分区，教学区位于地块东侧及南侧，生活区位于北侧，功能分区明确，相互联系便捷，运动区与教学区、生活区做到动静分离。教学区域又分为中学部与小学部，便于区分管理。停车场则是结合运动场设置半地下车库，既满足配套使用要求，又充分节约用地。学校主入口设置于南面规划路一侧，位于小学部与中学部中间，方便师生出入，车行入口与人行入口分离做到人车分流，充分考虑了师生进出安全，次入口位于东侧长岭头路主要作为后勤出入口及车辆出入口</w:t>
            </w:r>
            <w:r>
              <w:rPr>
                <w:rFonts w:ascii="Times New Roman" w:hAnsi="Times New Roman" w:cs="Times New Roman"/>
              </w:rPr>
              <w:t>（项目总平面布置见附图</w:t>
            </w:r>
            <w:r>
              <w:rPr>
                <w:rFonts w:hint="eastAsia" w:ascii="Times New Roman" w:hAnsi="Times New Roman" w:cs="Times New Roman"/>
              </w:rPr>
              <w:t>2</w:t>
            </w:r>
            <w:r>
              <w:rPr>
                <w:rFonts w:ascii="Times New Roman" w:hAnsi="Times New Roman" w:cs="Times New Roman"/>
              </w:rPr>
              <w:t>）。</w:t>
            </w:r>
          </w:p>
          <w:p>
            <w:pPr>
              <w:pStyle w:val="5"/>
              <w:ind w:firstLine="562"/>
              <w:outlineLvl w:val="1"/>
              <w:rPr>
                <w:rFonts w:cs="Times New Roman"/>
              </w:rPr>
            </w:pPr>
            <w:bookmarkStart w:id="6" w:name="_Toc34059478"/>
            <w:r>
              <w:rPr>
                <w:rFonts w:hint="eastAsia" w:cs="Times New Roman"/>
              </w:rPr>
              <w:t>5</w:t>
            </w:r>
            <w:r>
              <w:rPr>
                <w:rFonts w:cs="Times New Roman"/>
              </w:rPr>
              <w:t>、能耗消耗情况</w:t>
            </w:r>
            <w:bookmarkEnd w:id="6"/>
          </w:p>
          <w:p>
            <w:pPr>
              <w:spacing w:line="360" w:lineRule="auto"/>
              <w:jc w:val="center"/>
              <w:rPr>
                <w:rFonts w:ascii="Times New Roman" w:hAnsi="Times New Roman" w:cs="Times New Roman"/>
                <w:b/>
                <w:bCs/>
              </w:rPr>
            </w:pPr>
            <w:r>
              <w:rPr>
                <w:rFonts w:ascii="Times New Roman" w:hAnsi="Times New Roman" w:cs="Times New Roman"/>
                <w:b/>
                <w:bCs/>
              </w:rPr>
              <w:t>表1-3  能耗消耗一览</w:t>
            </w:r>
            <w:r>
              <w:rPr>
                <w:rFonts w:hint="eastAsia" w:ascii="Times New Roman" w:hAnsi="Times New Roman" w:cs="Times New Roman"/>
                <w:b/>
                <w:bCs/>
              </w:rPr>
              <w:t>表</w:t>
            </w:r>
          </w:p>
          <w:tbl>
            <w:tblPr>
              <w:tblStyle w:val="23"/>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709"/>
              <w:gridCol w:w="2471"/>
              <w:gridCol w:w="40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82" w:type="pct"/>
                  <w:vAlign w:val="center"/>
                </w:tcPr>
                <w:p>
                  <w:pPr>
                    <w:widowControl/>
                    <w:spacing w:line="380" w:lineRule="exact"/>
                    <w:jc w:val="center"/>
                    <w:rPr>
                      <w:rFonts w:ascii="Times New Roman" w:hAnsi="Times New Roman" w:eastAsia="宋体" w:cs="Times New Roman"/>
                      <w:b/>
                      <w:snapToGrid w:val="0"/>
                      <w:kern w:val="0"/>
                      <w:sz w:val="21"/>
                      <w:szCs w:val="21"/>
                    </w:rPr>
                  </w:pPr>
                  <w:r>
                    <w:rPr>
                      <w:rFonts w:ascii="Times New Roman" w:hAnsi="Times New Roman" w:eastAsia="宋体" w:cs="Times New Roman"/>
                      <w:b/>
                      <w:snapToGrid w:val="0"/>
                      <w:kern w:val="0"/>
                      <w:sz w:val="21"/>
                      <w:szCs w:val="21"/>
                    </w:rPr>
                    <w:t>编号</w:t>
                  </w:r>
                </w:p>
              </w:tc>
              <w:tc>
                <w:tcPr>
                  <w:tcW w:w="942" w:type="pct"/>
                  <w:vAlign w:val="center"/>
                </w:tcPr>
                <w:p>
                  <w:pPr>
                    <w:widowControl/>
                    <w:spacing w:line="380" w:lineRule="exact"/>
                    <w:jc w:val="center"/>
                    <w:rPr>
                      <w:rFonts w:ascii="Times New Roman" w:hAnsi="Times New Roman" w:eastAsia="宋体" w:cs="Times New Roman"/>
                      <w:b/>
                      <w:snapToGrid w:val="0"/>
                      <w:kern w:val="0"/>
                      <w:sz w:val="21"/>
                      <w:szCs w:val="21"/>
                    </w:rPr>
                  </w:pPr>
                  <w:r>
                    <w:rPr>
                      <w:rFonts w:ascii="Times New Roman" w:hAnsi="Times New Roman" w:eastAsia="宋体" w:cs="Times New Roman"/>
                      <w:b/>
                      <w:snapToGrid w:val="0"/>
                      <w:kern w:val="0"/>
                      <w:sz w:val="21"/>
                      <w:szCs w:val="21"/>
                    </w:rPr>
                    <w:t>配套</w:t>
                  </w:r>
                </w:p>
              </w:tc>
              <w:tc>
                <w:tcPr>
                  <w:tcW w:w="1362" w:type="pct"/>
                  <w:vAlign w:val="center"/>
                </w:tcPr>
                <w:p>
                  <w:pPr>
                    <w:widowControl/>
                    <w:spacing w:line="380" w:lineRule="exact"/>
                    <w:jc w:val="center"/>
                    <w:rPr>
                      <w:rFonts w:ascii="Times New Roman" w:hAnsi="Times New Roman" w:eastAsia="宋体" w:cs="Times New Roman"/>
                      <w:b/>
                      <w:snapToGrid w:val="0"/>
                      <w:kern w:val="0"/>
                      <w:sz w:val="21"/>
                      <w:szCs w:val="21"/>
                    </w:rPr>
                  </w:pPr>
                  <w:r>
                    <w:rPr>
                      <w:rFonts w:ascii="Times New Roman" w:hAnsi="Times New Roman" w:eastAsia="宋体" w:cs="Times New Roman"/>
                      <w:b/>
                      <w:snapToGrid w:val="0"/>
                      <w:kern w:val="0"/>
                      <w:sz w:val="21"/>
                      <w:szCs w:val="21"/>
                    </w:rPr>
                    <w:t>数量</w:t>
                  </w:r>
                </w:p>
              </w:tc>
              <w:tc>
                <w:tcPr>
                  <w:tcW w:w="2214" w:type="pct"/>
                  <w:vAlign w:val="center"/>
                </w:tcPr>
                <w:p>
                  <w:pPr>
                    <w:widowControl/>
                    <w:spacing w:line="380" w:lineRule="exact"/>
                    <w:jc w:val="center"/>
                    <w:rPr>
                      <w:rFonts w:ascii="Times New Roman" w:hAnsi="Times New Roman" w:eastAsia="宋体" w:cs="Times New Roman"/>
                      <w:b/>
                      <w:snapToGrid w:val="0"/>
                      <w:kern w:val="0"/>
                      <w:sz w:val="21"/>
                      <w:szCs w:val="21"/>
                    </w:rPr>
                  </w:pPr>
                  <w:r>
                    <w:rPr>
                      <w:rFonts w:ascii="Times New Roman" w:hAnsi="Times New Roman" w:eastAsia="宋体" w:cs="Times New Roman"/>
                      <w:b/>
                      <w:snapToGrid w:val="0"/>
                      <w:kern w:val="0"/>
                      <w:sz w:val="21"/>
                      <w:szCs w:val="21"/>
                    </w:rPr>
                    <w:t>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82" w:type="pct"/>
                  <w:vAlign w:val="center"/>
                </w:tcPr>
                <w:p>
                  <w:pPr>
                    <w:widowControl/>
                    <w:spacing w:line="380" w:lineRule="exact"/>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bCs/>
                      <w:snapToGrid w:val="0"/>
                      <w:kern w:val="0"/>
                      <w:sz w:val="21"/>
                      <w:szCs w:val="21"/>
                    </w:rPr>
                    <w:t>1</w:t>
                  </w:r>
                </w:p>
              </w:tc>
              <w:tc>
                <w:tcPr>
                  <w:tcW w:w="942"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水</w:t>
                  </w:r>
                </w:p>
              </w:tc>
              <w:tc>
                <w:tcPr>
                  <w:tcW w:w="1362" w:type="pct"/>
                  <w:vAlign w:val="center"/>
                </w:tcPr>
                <w:p>
                  <w:pPr>
                    <w:spacing w:line="240" w:lineRule="auto"/>
                    <w:jc w:val="center"/>
                    <w:rPr>
                      <w:rFonts w:ascii="Times New Roman" w:hAnsi="Times New Roman" w:eastAsia="宋体" w:cs="Times New Roman"/>
                      <w:snapToGrid w:val="0"/>
                      <w:kern w:val="0"/>
                      <w:sz w:val="21"/>
                      <w:szCs w:val="21"/>
                    </w:rPr>
                  </w:pPr>
                  <w:r>
                    <w:rPr>
                      <w:rFonts w:ascii="Times New Roman" w:hAnsi="Times New Roman" w:eastAsia="宋体" w:cs="Times New Roman"/>
                      <w:sz w:val="21"/>
                      <w:szCs w:val="21"/>
                    </w:rPr>
                    <w:t>62507.56</w:t>
                  </w:r>
                  <w:r>
                    <w:rPr>
                      <w:rFonts w:hint="eastAsia" w:ascii="Times New Roman" w:hAnsi="Times New Roman" w:eastAsia="宋体" w:cs="Times New Roman"/>
                      <w:sz w:val="21"/>
                      <w:szCs w:val="21"/>
                    </w:rPr>
                    <w:t>t/a</w:t>
                  </w:r>
                </w:p>
              </w:tc>
              <w:tc>
                <w:tcPr>
                  <w:tcW w:w="2214"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市政给水管道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82" w:type="pct"/>
                  <w:vAlign w:val="center"/>
                </w:tcPr>
                <w:p>
                  <w:pPr>
                    <w:widowControl/>
                    <w:spacing w:line="380" w:lineRule="exact"/>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bCs/>
                      <w:snapToGrid w:val="0"/>
                      <w:kern w:val="0"/>
                      <w:sz w:val="21"/>
                      <w:szCs w:val="21"/>
                    </w:rPr>
                    <w:t>2</w:t>
                  </w:r>
                </w:p>
              </w:tc>
              <w:tc>
                <w:tcPr>
                  <w:tcW w:w="942"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电</w:t>
                  </w:r>
                </w:p>
              </w:tc>
              <w:tc>
                <w:tcPr>
                  <w:tcW w:w="1362" w:type="pct"/>
                  <w:vAlign w:val="center"/>
                </w:tcPr>
                <w:p>
                  <w:pPr>
                    <w:spacing w:line="240" w:lineRule="auto"/>
                    <w:jc w:val="center"/>
                    <w:rPr>
                      <w:rFonts w:ascii="Times New Roman" w:hAnsi="Times New Roman" w:eastAsia="宋体" w:cs="Times New Roman"/>
                      <w:snapToGrid w:val="0"/>
                      <w:kern w:val="0"/>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0</w:t>
                  </w:r>
                  <w:r>
                    <w:rPr>
                      <w:rFonts w:hint="eastAsia" w:ascii="Times New Roman" w:hAnsi="Times New Roman" w:eastAsia="宋体" w:cs="Times New Roman"/>
                      <w:sz w:val="21"/>
                      <w:szCs w:val="21"/>
                    </w:rPr>
                    <w:t>27万</w:t>
                  </w:r>
                  <w:r>
                    <w:rPr>
                      <w:rFonts w:ascii="Times New Roman" w:hAnsi="Times New Roman" w:eastAsia="宋体" w:cs="Times New Roman"/>
                      <w:sz w:val="21"/>
                      <w:szCs w:val="21"/>
                    </w:rPr>
                    <w:t>K</w:t>
                  </w:r>
                  <w:r>
                    <w:rPr>
                      <w:rFonts w:hint="eastAsia" w:ascii="Times New Roman" w:hAnsi="Times New Roman" w:eastAsia="宋体" w:cs="Times New Roman"/>
                      <w:sz w:val="21"/>
                      <w:szCs w:val="21"/>
                    </w:rPr>
                    <w:t>W·h</w:t>
                  </w:r>
                  <w:r>
                    <w:rPr>
                      <w:rFonts w:ascii="Times New Roman" w:hAnsi="Times New Roman" w:eastAsia="宋体" w:cs="Times New Roman"/>
                      <w:sz w:val="21"/>
                      <w:szCs w:val="21"/>
                    </w:rPr>
                    <w:t>/</w:t>
                  </w:r>
                  <w:r>
                    <w:rPr>
                      <w:rFonts w:hint="eastAsia" w:ascii="Times New Roman" w:hAnsi="Times New Roman" w:eastAsia="宋体" w:cs="Times New Roman"/>
                      <w:sz w:val="21"/>
                      <w:szCs w:val="21"/>
                    </w:rPr>
                    <w:t>a</w:t>
                  </w:r>
                </w:p>
              </w:tc>
              <w:tc>
                <w:tcPr>
                  <w:tcW w:w="2214"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市政电网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82" w:type="pct"/>
                  <w:vAlign w:val="center"/>
                </w:tcPr>
                <w:p>
                  <w:pPr>
                    <w:widowControl/>
                    <w:spacing w:line="380" w:lineRule="exact"/>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bCs/>
                      <w:snapToGrid w:val="0"/>
                      <w:kern w:val="0"/>
                      <w:sz w:val="21"/>
                      <w:szCs w:val="21"/>
                    </w:rPr>
                    <w:t>3</w:t>
                  </w:r>
                </w:p>
              </w:tc>
              <w:tc>
                <w:tcPr>
                  <w:tcW w:w="942"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天然气</w:t>
                  </w:r>
                </w:p>
              </w:tc>
              <w:tc>
                <w:tcPr>
                  <w:tcW w:w="1362" w:type="pct"/>
                  <w:vAlign w:val="center"/>
                </w:tcPr>
                <w:p>
                  <w:pPr>
                    <w:spacing w:line="240" w:lineRule="auto"/>
                    <w:jc w:val="center"/>
                    <w:rPr>
                      <w:rFonts w:ascii="Times New Roman" w:hAnsi="Times New Roman" w:eastAsia="宋体" w:cs="Times New Roman"/>
                      <w:snapToGrid w:val="0"/>
                      <w:kern w:val="0"/>
                      <w:sz w:val="21"/>
                      <w:szCs w:val="21"/>
                    </w:rPr>
                  </w:pPr>
                  <w:r>
                    <w:rPr>
                      <w:rFonts w:ascii="Times New Roman" w:hAnsi="Times New Roman" w:eastAsia="宋体" w:cs="Times New Roman"/>
                      <w:sz w:val="21"/>
                      <w:szCs w:val="21"/>
                    </w:rPr>
                    <w:t>18.06</w:t>
                  </w:r>
                  <w:r>
                    <w:rPr>
                      <w:rFonts w:hint="eastAsia" w:ascii="Times New Roman" w:hAnsi="Times New Roman" w:eastAsia="宋体" w:cs="Times New Roman"/>
                      <w:sz w:val="21"/>
                      <w:szCs w:val="21"/>
                    </w:rPr>
                    <w:t>万m</w:t>
                  </w:r>
                  <w:r>
                    <w:rPr>
                      <w:rFonts w:hint="eastAsia" w:ascii="Times New Roman" w:hAnsi="Times New Roman" w:eastAsia="宋体" w:cs="Times New Roman"/>
                      <w:sz w:val="21"/>
                      <w:szCs w:val="21"/>
                      <w:vertAlign w:val="superscript"/>
                    </w:rPr>
                    <w:t>3</w:t>
                  </w:r>
                  <w:r>
                    <w:rPr>
                      <w:rFonts w:hint="eastAsia" w:ascii="Times New Roman" w:hAnsi="Times New Roman" w:eastAsia="宋体" w:cs="Times New Roman"/>
                      <w:sz w:val="21"/>
                      <w:szCs w:val="21"/>
                    </w:rPr>
                    <w:t>N/a</w:t>
                  </w:r>
                </w:p>
              </w:tc>
              <w:tc>
                <w:tcPr>
                  <w:tcW w:w="2214" w:type="pct"/>
                  <w:vAlign w:val="center"/>
                </w:tcPr>
                <w:p>
                  <w:pPr>
                    <w:spacing w:line="240" w:lineRule="auto"/>
                    <w:jc w:val="center"/>
                    <w:rPr>
                      <w:rFonts w:ascii="Times New Roman" w:hAnsi="Times New Roman" w:eastAsia="宋体" w:cs="Times New Roman"/>
                      <w:bCs/>
                      <w:snapToGrid w:val="0"/>
                      <w:kern w:val="0"/>
                      <w:sz w:val="21"/>
                      <w:szCs w:val="21"/>
                    </w:rPr>
                  </w:pPr>
                  <w:r>
                    <w:rPr>
                      <w:rFonts w:hint="eastAsia" w:ascii="Times New Roman" w:hAnsi="Times New Roman" w:eastAsia="宋体" w:cs="Times New Roman"/>
                      <w:sz w:val="21"/>
                      <w:szCs w:val="21"/>
                    </w:rPr>
                    <w:t>市政天然气</w:t>
                  </w:r>
                </w:p>
              </w:tc>
            </w:tr>
          </w:tbl>
          <w:p>
            <w:pPr>
              <w:pStyle w:val="5"/>
              <w:numPr>
                <w:ilvl w:val="0"/>
                <w:numId w:val="3"/>
              </w:numPr>
              <w:ind w:firstLine="562"/>
              <w:outlineLvl w:val="1"/>
              <w:rPr>
                <w:rFonts w:cs="Times New Roman"/>
              </w:rPr>
            </w:pPr>
            <w:bookmarkStart w:id="7" w:name="_Toc34059479"/>
            <w:r>
              <w:rPr>
                <w:rFonts w:hint="eastAsia" w:cs="Times New Roman"/>
              </w:rPr>
              <w:t>公用工程</w:t>
            </w:r>
            <w:bookmarkEnd w:id="7"/>
          </w:p>
          <w:p>
            <w:pPr>
              <w:ind w:firstLine="480" w:firstLineChars="200"/>
              <w:rPr>
                <w:rFonts w:ascii="Times New Roman" w:hAnsi="Times New Roman" w:cs="Times New Roman"/>
                <w:u w:val="single"/>
              </w:rPr>
            </w:pPr>
            <w:r>
              <w:rPr>
                <w:rFonts w:ascii="Times New Roman" w:hAnsi="Times New Roman" w:cs="Times New Roman"/>
                <w:u w:val="single"/>
              </w:rPr>
              <w:t>（1）给</w:t>
            </w:r>
            <w:r>
              <w:rPr>
                <w:rFonts w:hint="eastAsia" w:ascii="Times New Roman" w:hAnsi="Times New Roman" w:cs="Times New Roman"/>
                <w:u w:val="single"/>
              </w:rPr>
              <w:t>排</w:t>
            </w:r>
            <w:r>
              <w:rPr>
                <w:rFonts w:ascii="Times New Roman" w:hAnsi="Times New Roman" w:cs="Times New Roman"/>
                <w:u w:val="single"/>
              </w:rPr>
              <w:t>水</w:t>
            </w:r>
          </w:p>
          <w:p>
            <w:pPr>
              <w:ind w:firstLine="482" w:firstLineChars="200"/>
              <w:rPr>
                <w:rFonts w:ascii="Times New Roman" w:hAnsi="Times New Roman" w:cs="Times New Roman"/>
                <w:b/>
                <w:bCs/>
                <w:u w:val="single"/>
              </w:rPr>
            </w:pPr>
            <w:r>
              <w:rPr>
                <w:rFonts w:hint="eastAsia" w:ascii="Times New Roman" w:hAnsi="Times New Roman" w:cs="Times New Roman"/>
                <w:b/>
                <w:bCs/>
                <w:u w:val="single"/>
              </w:rPr>
              <w:t>给水：</w:t>
            </w:r>
          </w:p>
          <w:p>
            <w:pPr>
              <w:ind w:firstLine="480" w:firstLineChars="200"/>
              <w:rPr>
                <w:rFonts w:ascii="Times New Roman" w:hAnsi="Times New Roman" w:cs="Times New Roman"/>
                <w:u w:val="single"/>
              </w:rPr>
            </w:pPr>
            <w:r>
              <w:rPr>
                <w:rFonts w:ascii="Times New Roman" w:hAnsi="Times New Roman" w:cs="Times New Roman"/>
                <w:u w:val="single"/>
              </w:rPr>
              <w:t>建设项目不设锅炉房，因此，无锅炉房用水。</w:t>
            </w:r>
            <w:r>
              <w:rPr>
                <w:rFonts w:hint="eastAsia" w:ascii="Times New Roman" w:hAnsi="Times New Roman" w:cs="Times New Roman"/>
                <w:u w:val="single"/>
              </w:rPr>
              <w:t>本工程水源为市政给水管网，中小学周边有环形市政给水管网，管径DN400，本项目生活用水从市政道路引入总管上接入，各类消防用水接自市政道路的给水管道。</w:t>
            </w:r>
          </w:p>
          <w:p>
            <w:pPr>
              <w:ind w:firstLine="482" w:firstLineChars="200"/>
              <w:rPr>
                <w:rFonts w:ascii="Times New Roman" w:hAnsi="Times New Roman" w:cs="Times New Roman"/>
                <w:b/>
                <w:bCs/>
                <w:u w:val="single"/>
              </w:rPr>
            </w:pPr>
            <w:r>
              <w:rPr>
                <w:rFonts w:ascii="Times New Roman" w:hAnsi="Times New Roman" w:cs="Times New Roman"/>
                <w:b/>
                <w:bCs/>
                <w:u w:val="single"/>
              </w:rPr>
              <w:t>排水</w:t>
            </w:r>
            <w:r>
              <w:rPr>
                <w:rFonts w:hint="eastAsia" w:ascii="Times New Roman" w:hAnsi="Times New Roman" w:cs="Times New Roman"/>
                <w:b/>
                <w:bCs/>
                <w:u w:val="single"/>
              </w:rPr>
              <w:t>：</w:t>
            </w:r>
          </w:p>
          <w:p>
            <w:pPr>
              <w:ind w:firstLine="480" w:firstLineChars="200"/>
              <w:rPr>
                <w:rFonts w:ascii="Times New Roman" w:hAnsi="Times New Roman" w:cs="Times New Roman"/>
                <w:u w:val="single"/>
              </w:rPr>
            </w:pPr>
            <w:r>
              <w:rPr>
                <w:rFonts w:hint="eastAsia" w:ascii="Times New Roman" w:hAnsi="Times New Roman" w:cs="Times New Roman"/>
                <w:u w:val="single"/>
              </w:rPr>
              <w:t>室内采用污废水合流制，室外采用生活污水与雨水分流制，</w:t>
            </w:r>
            <w:r>
              <w:rPr>
                <w:rFonts w:ascii="Times New Roman" w:hAnsi="Times New Roman" w:cs="Times New Roman"/>
                <w:u w:val="single"/>
              </w:rPr>
              <w:t>排水系统实行雨污分流，分为排雨水系统和排污水系统。</w:t>
            </w:r>
          </w:p>
          <w:p>
            <w:pPr>
              <w:ind w:firstLine="480" w:firstLineChars="200"/>
              <w:rPr>
                <w:rFonts w:ascii="Times New Roman" w:hAnsi="Times New Roman" w:cs="Times New Roman"/>
                <w:u w:val="single"/>
              </w:rPr>
            </w:pPr>
            <w:r>
              <w:rPr>
                <w:rFonts w:ascii="Times New Roman" w:hAnsi="Times New Roman" w:cs="Times New Roman"/>
                <w:u w:val="single"/>
              </w:rPr>
              <w:t>雨水系统：在校内道路侧带布置雨水管网，道路适宜位置设置雨水口，收集道路、人行道及屋面雨水，雨水</w:t>
            </w:r>
            <w:r>
              <w:rPr>
                <w:rFonts w:hint="eastAsia" w:ascii="Times New Roman" w:hAnsi="Times New Roman" w:cs="Times New Roman"/>
                <w:u w:val="single"/>
              </w:rPr>
              <w:t>经管网进入雨水收集池经处理后用于周边绿化灌溉、道路喷洒</w:t>
            </w:r>
            <w:r>
              <w:rPr>
                <w:rFonts w:ascii="Times New Roman" w:hAnsi="Times New Roman" w:cs="Times New Roman"/>
                <w:u w:val="single"/>
              </w:rPr>
              <w:t>。</w:t>
            </w:r>
          </w:p>
          <w:p>
            <w:pPr>
              <w:ind w:firstLine="480" w:firstLineChars="200"/>
              <w:rPr>
                <w:rFonts w:ascii="Times New Roman" w:hAnsi="Times New Roman"/>
                <w:b/>
                <w:bCs/>
                <w:u w:val="single"/>
                <w:lang w:val="zh-CN"/>
              </w:rPr>
            </w:pPr>
            <w:r>
              <w:rPr>
                <w:rFonts w:ascii="Times New Roman" w:hAnsi="Times New Roman" w:cs="Times New Roman"/>
                <w:u w:val="single"/>
              </w:rPr>
              <w:t>污水系统：</w:t>
            </w:r>
          </w:p>
          <w:p>
            <w:pPr>
              <w:ind w:firstLine="482" w:firstLineChars="200"/>
              <w:rPr>
                <w:rFonts w:ascii="Times New Roman" w:hAnsi="Times New Roman" w:cs="Times New Roman"/>
                <w:u w:val="single"/>
              </w:rPr>
            </w:pPr>
            <w:r>
              <w:rPr>
                <w:rFonts w:ascii="Times New Roman" w:hAnsi="Times New Roman"/>
                <w:b/>
                <w:bCs/>
                <w:u w:val="single"/>
                <w:lang w:val="zh-CN"/>
              </w:rPr>
              <w:t>在污水</w:t>
            </w:r>
            <w:r>
              <w:rPr>
                <w:rFonts w:hint="eastAsia" w:ascii="Times New Roman" w:hAnsi="Times New Roman"/>
                <w:b/>
                <w:bCs/>
                <w:u w:val="single"/>
                <w:lang w:val="zh-CN"/>
              </w:rPr>
              <w:t>管网接通罗家坡污水处理厂</w:t>
            </w:r>
            <w:r>
              <w:rPr>
                <w:rFonts w:ascii="Times New Roman" w:hAnsi="Times New Roman"/>
                <w:b/>
                <w:bCs/>
                <w:u w:val="single"/>
                <w:lang w:val="zh-CN"/>
              </w:rPr>
              <w:t>前</w:t>
            </w:r>
            <w:r>
              <w:rPr>
                <w:rFonts w:hint="eastAsia" w:ascii="Times New Roman" w:hAnsi="Times New Roman"/>
                <w:b/>
                <w:bCs/>
                <w:u w:val="single"/>
                <w:lang w:val="zh-CN"/>
              </w:rPr>
              <w:t>：</w:t>
            </w:r>
            <w:r>
              <w:rPr>
                <w:rFonts w:ascii="Times New Roman" w:hAnsi="Times New Roman" w:cs="Times New Roman"/>
                <w:u w:val="single"/>
              </w:rPr>
              <w:t>项目生活污水</w:t>
            </w:r>
            <w:r>
              <w:rPr>
                <w:rFonts w:hint="eastAsia" w:ascii="Times New Roman" w:hAnsi="Times New Roman" w:cs="Times New Roman"/>
                <w:u w:val="single"/>
              </w:rPr>
              <w:t>、</w:t>
            </w:r>
            <w:r>
              <w:rPr>
                <w:rFonts w:ascii="Times New Roman" w:hAnsi="Times New Roman" w:cs="Times New Roman"/>
                <w:u w:val="single"/>
              </w:rPr>
              <w:t>食堂废水</w:t>
            </w:r>
            <w:r>
              <w:rPr>
                <w:rFonts w:hint="eastAsia" w:ascii="Times New Roman" w:hAnsi="Times New Roman" w:cs="Times New Roman"/>
                <w:u w:val="single"/>
              </w:rPr>
              <w:t>（</w:t>
            </w:r>
            <w:r>
              <w:rPr>
                <w:rFonts w:ascii="Times New Roman" w:hAnsi="Times New Roman" w:cs="Times New Roman"/>
                <w:u w:val="single"/>
              </w:rPr>
              <w:t>经隔油沉淀</w:t>
            </w:r>
            <w:r>
              <w:rPr>
                <w:rFonts w:hint="eastAsia" w:ascii="Times New Roman" w:hAnsi="Times New Roman" w:cs="Times New Roman"/>
                <w:u w:val="single"/>
              </w:rPr>
              <w:t>池</w:t>
            </w:r>
            <w:r>
              <w:rPr>
                <w:rFonts w:ascii="Times New Roman" w:hAnsi="Times New Roman" w:cs="Times New Roman"/>
                <w:u w:val="single"/>
              </w:rPr>
              <w:t>处理</w:t>
            </w:r>
            <w:r>
              <w:rPr>
                <w:rFonts w:hint="eastAsia" w:ascii="Times New Roman" w:hAnsi="Times New Roman" w:cs="Times New Roman"/>
                <w:u w:val="single"/>
              </w:rPr>
              <w:t>）与</w:t>
            </w:r>
            <w:r>
              <w:rPr>
                <w:rFonts w:ascii="Times New Roman" w:hAnsi="Times New Roman" w:cs="Times New Roman"/>
                <w:u w:val="single"/>
              </w:rPr>
              <w:t>实验室废水</w:t>
            </w:r>
            <w:r>
              <w:rPr>
                <w:rFonts w:hint="eastAsia" w:ascii="Times New Roman" w:hAnsi="Times New Roman" w:cs="Times New Roman"/>
                <w:u w:val="single"/>
              </w:rPr>
              <w:t>（化学实验室</w:t>
            </w:r>
            <w:r>
              <w:rPr>
                <w:rFonts w:ascii="Times New Roman" w:hAnsi="Times New Roman" w:cs="Times New Roman"/>
                <w:u w:val="single"/>
              </w:rPr>
              <w:t>单独收集经自建的实验室废水处理设施预处理</w:t>
            </w:r>
            <w:r>
              <w:rPr>
                <w:rFonts w:hint="eastAsia" w:ascii="Times New Roman" w:hAnsi="Times New Roman" w:cs="Times New Roman"/>
                <w:u w:val="single"/>
              </w:rPr>
              <w:t>；生物实验室废水经消毒沉淀池预处理；）一同进入化粪池由污水管网进入自建污水处理站处理达标后排至北港河最终排入南湖。</w:t>
            </w:r>
          </w:p>
          <w:p>
            <w:pPr>
              <w:spacing w:line="360" w:lineRule="auto"/>
              <w:ind w:firstLine="482" w:firstLineChars="200"/>
              <w:rPr>
                <w:rFonts w:ascii="Times New Roman" w:hAnsi="Times New Roman"/>
                <w:u w:val="single"/>
                <w:lang w:val="zh-CN"/>
              </w:rPr>
            </w:pPr>
            <w:r>
              <w:rPr>
                <w:rFonts w:ascii="Times New Roman" w:hAnsi="Times New Roman"/>
                <w:b/>
                <w:bCs/>
                <w:u w:val="single"/>
                <w:lang w:val="zh-CN"/>
              </w:rPr>
              <w:t>在污水</w:t>
            </w:r>
            <w:r>
              <w:rPr>
                <w:rFonts w:hint="eastAsia" w:ascii="Times New Roman" w:hAnsi="Times New Roman"/>
                <w:b/>
                <w:bCs/>
                <w:u w:val="single"/>
                <w:lang w:val="zh-CN"/>
              </w:rPr>
              <w:t>管网接通罗家坡污水处理厂后</w:t>
            </w:r>
            <w:r>
              <w:rPr>
                <w:rFonts w:hint="eastAsia" w:ascii="Times New Roman" w:hAnsi="Times New Roman"/>
                <w:u w:val="single"/>
                <w:lang w:val="zh-CN"/>
              </w:rPr>
              <w:t>：</w:t>
            </w:r>
            <w:r>
              <w:rPr>
                <w:rFonts w:ascii="Times New Roman" w:hAnsi="Times New Roman" w:cs="Times New Roman"/>
                <w:u w:val="single"/>
              </w:rPr>
              <w:t>项目生活污水</w:t>
            </w:r>
            <w:r>
              <w:rPr>
                <w:rFonts w:hint="eastAsia" w:ascii="Times New Roman" w:hAnsi="Times New Roman" w:cs="Times New Roman"/>
                <w:u w:val="single"/>
              </w:rPr>
              <w:t>、</w:t>
            </w:r>
            <w:r>
              <w:rPr>
                <w:rFonts w:ascii="Times New Roman" w:hAnsi="Times New Roman" w:cs="Times New Roman"/>
                <w:u w:val="single"/>
              </w:rPr>
              <w:t>食堂废水</w:t>
            </w:r>
            <w:r>
              <w:rPr>
                <w:rFonts w:hint="eastAsia" w:ascii="Times New Roman" w:hAnsi="Times New Roman" w:cs="Times New Roman"/>
                <w:u w:val="single"/>
              </w:rPr>
              <w:t>（</w:t>
            </w:r>
            <w:r>
              <w:rPr>
                <w:rFonts w:ascii="Times New Roman" w:hAnsi="Times New Roman" w:cs="Times New Roman"/>
                <w:u w:val="single"/>
              </w:rPr>
              <w:t>经隔油沉淀</w:t>
            </w:r>
            <w:r>
              <w:rPr>
                <w:rFonts w:hint="eastAsia" w:ascii="Times New Roman" w:hAnsi="Times New Roman" w:cs="Times New Roman"/>
                <w:u w:val="single"/>
              </w:rPr>
              <w:t>池</w:t>
            </w:r>
            <w:r>
              <w:rPr>
                <w:rFonts w:ascii="Times New Roman" w:hAnsi="Times New Roman" w:cs="Times New Roman"/>
                <w:u w:val="single"/>
              </w:rPr>
              <w:t>处理</w:t>
            </w:r>
            <w:r>
              <w:rPr>
                <w:rFonts w:hint="eastAsia" w:ascii="Times New Roman" w:hAnsi="Times New Roman" w:cs="Times New Roman"/>
                <w:u w:val="single"/>
              </w:rPr>
              <w:t>）与</w:t>
            </w:r>
            <w:r>
              <w:rPr>
                <w:rFonts w:ascii="Times New Roman" w:hAnsi="Times New Roman" w:cs="Times New Roman"/>
                <w:u w:val="single"/>
              </w:rPr>
              <w:t>实验室废水</w:t>
            </w:r>
            <w:r>
              <w:rPr>
                <w:rFonts w:hint="eastAsia" w:ascii="Times New Roman" w:hAnsi="Times New Roman" w:cs="Times New Roman"/>
                <w:u w:val="single"/>
              </w:rPr>
              <w:t>（化学实验室</w:t>
            </w:r>
            <w:r>
              <w:rPr>
                <w:rFonts w:ascii="Times New Roman" w:hAnsi="Times New Roman" w:cs="Times New Roman"/>
                <w:u w:val="single"/>
              </w:rPr>
              <w:t>单独收集经自建的实验室废水处理设施预处理</w:t>
            </w:r>
            <w:r>
              <w:rPr>
                <w:rFonts w:hint="eastAsia" w:ascii="Times New Roman" w:hAnsi="Times New Roman" w:cs="Times New Roman"/>
                <w:u w:val="single"/>
              </w:rPr>
              <w:t>；生物实验室废水经消毒沉淀池预处理；）一同进入化粪池由</w:t>
            </w:r>
            <w:r>
              <w:rPr>
                <w:rFonts w:ascii="Times New Roman" w:hAnsi="Times New Roman"/>
                <w:u w:val="single"/>
                <w:lang w:val="zh-CN"/>
              </w:rPr>
              <w:t>污水管网进入</w:t>
            </w:r>
            <w:r>
              <w:rPr>
                <w:rFonts w:hint="eastAsia" w:ascii="Times New Roman" w:hAnsi="Times New Roman"/>
                <w:u w:val="single"/>
                <w:lang w:val="zh-CN"/>
              </w:rPr>
              <w:t>罗家坡污水</w:t>
            </w:r>
            <w:r>
              <w:rPr>
                <w:rFonts w:ascii="Times New Roman" w:hAnsi="Times New Roman"/>
                <w:u w:val="single"/>
                <w:lang w:val="zh-CN"/>
              </w:rPr>
              <w:t>处理厂处理，达到《城镇污水处理厂污染物排放标准》（GB18918-2002）一级A标准后</w:t>
            </w:r>
            <w:r>
              <w:rPr>
                <w:rFonts w:hint="eastAsia" w:ascii="Times New Roman" w:hAnsi="Times New Roman"/>
                <w:u w:val="single"/>
                <w:lang w:val="zh-CN"/>
              </w:rPr>
              <w:t>排至北港河</w:t>
            </w:r>
            <w:r>
              <w:rPr>
                <w:rFonts w:ascii="Times New Roman" w:hAnsi="Times New Roman"/>
                <w:u w:val="single"/>
                <w:lang w:val="zh-CN"/>
              </w:rPr>
              <w:t>最终排入</w:t>
            </w:r>
            <w:r>
              <w:rPr>
                <w:rFonts w:hint="eastAsia" w:ascii="Times New Roman" w:hAnsi="Times New Roman"/>
                <w:u w:val="single"/>
                <w:lang w:val="zh-CN"/>
              </w:rPr>
              <w:t>南湖</w:t>
            </w:r>
            <w:r>
              <w:rPr>
                <w:rFonts w:ascii="Times New Roman" w:hAnsi="Times New Roman"/>
                <w:u w:val="single"/>
                <w:lang w:val="zh-CN"/>
              </w:rPr>
              <w:t>。</w:t>
            </w:r>
          </w:p>
          <w:p>
            <w:pPr>
              <w:spacing w:line="360" w:lineRule="auto"/>
              <w:ind w:firstLine="480" w:firstLineChars="200"/>
              <w:rPr>
                <w:rFonts w:ascii="Times New Roman" w:hAnsi="Times New Roman" w:cs="Times New Roman"/>
                <w:u w:val="single"/>
              </w:rPr>
            </w:pPr>
            <w:r>
              <w:rPr>
                <w:rFonts w:ascii="Times New Roman" w:hAnsi="Times New Roman" w:cs="Times New Roman"/>
                <w:u w:val="single"/>
              </w:rPr>
              <w:t>（3）供电</w:t>
            </w:r>
          </w:p>
          <w:p>
            <w:pPr>
              <w:spacing w:line="360" w:lineRule="auto"/>
              <w:ind w:firstLine="480" w:firstLineChars="200"/>
              <w:rPr>
                <w:rFonts w:ascii="Times New Roman" w:hAnsi="Times New Roman" w:cs="Times New Roman"/>
                <w:u w:val="single"/>
              </w:rPr>
            </w:pPr>
            <w:r>
              <w:rPr>
                <w:rFonts w:ascii="Times New Roman" w:hAnsi="Times New Roman" w:cs="Times New Roman"/>
                <w:u w:val="single"/>
              </w:rPr>
              <w:t>建设项目区中小学校10kV电源从地块2的2-1#开闭所引来。线路采用电缆敷设，有地下室区域，在地下室内沿电缆桥架敷设；无地下室区域，在人行道下穿管埋地敷设。结线方式则采用放射式配电系统结线。</w:t>
            </w:r>
          </w:p>
          <w:p>
            <w:pPr>
              <w:spacing w:line="360" w:lineRule="auto"/>
              <w:ind w:firstLine="480" w:firstLineChars="200"/>
              <w:rPr>
                <w:rFonts w:ascii="Times New Roman" w:hAnsi="Times New Roman" w:cs="Times New Roman"/>
                <w:u w:val="single"/>
              </w:rPr>
            </w:pPr>
            <w:r>
              <w:rPr>
                <w:rFonts w:hint="eastAsia" w:ascii="Times New Roman" w:hAnsi="Times New Roman" w:cs="Times New Roman"/>
                <w:u w:val="single"/>
              </w:rPr>
              <w:t>（4）</w:t>
            </w:r>
            <w:r>
              <w:rPr>
                <w:rFonts w:ascii="Times New Roman" w:hAnsi="Times New Roman" w:cs="Times New Roman"/>
                <w:u w:val="single"/>
              </w:rPr>
              <w:t>电信工程</w:t>
            </w:r>
          </w:p>
          <w:p>
            <w:pPr>
              <w:spacing w:line="360" w:lineRule="auto"/>
              <w:ind w:firstLine="480" w:firstLineChars="200"/>
              <w:rPr>
                <w:rFonts w:ascii="Times New Roman" w:hAnsi="Times New Roman" w:cs="Times New Roman"/>
                <w:u w:val="single"/>
              </w:rPr>
            </w:pPr>
            <w:r>
              <w:rPr>
                <w:rFonts w:ascii="Times New Roman" w:hAnsi="Times New Roman" w:cs="Times New Roman"/>
                <w:u w:val="single"/>
              </w:rPr>
              <w:t>设1处小区设备间，位于地下室(面积约15㎡)。小区设备间为的通信及有线电视接入设备及配线设备用房。无地下室处采用PC管埋地敷设，在人行道下敷设；有地下室处内沿槽敷设</w:t>
            </w:r>
          </w:p>
          <w:p>
            <w:pPr>
              <w:spacing w:line="360" w:lineRule="auto"/>
              <w:ind w:firstLine="48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5</w:t>
            </w:r>
            <w:r>
              <w:rPr>
                <w:rFonts w:ascii="Times New Roman" w:hAnsi="Times New Roman" w:cs="Times New Roman"/>
              </w:rPr>
              <w:t>）消防工程</w:t>
            </w:r>
          </w:p>
          <w:p>
            <w:pPr>
              <w:spacing w:line="360" w:lineRule="auto"/>
              <w:ind w:firstLine="480" w:firstLineChars="200"/>
              <w:rPr>
                <w:rFonts w:ascii="Times New Roman" w:hAnsi="Times New Roman" w:cs="Times New Roman"/>
              </w:rPr>
            </w:pPr>
            <w:r>
              <w:rPr>
                <w:rFonts w:hint="eastAsia" w:ascii="Times New Roman" w:hAnsi="Times New Roman" w:cs="Times New Roman"/>
              </w:rPr>
              <w:t>校内各建筑均为多层建筑，校区内道路宽度均大于4m，转弯半径不小于9m，且个建筑单体周边均形成环路，与车行出入口相通，满足消防车出入、通行要求。并沿校区内道路设置室外消防栓。</w:t>
            </w:r>
          </w:p>
          <w:p>
            <w:pPr>
              <w:ind w:firstLine="480" w:firstLineChars="200"/>
              <w:rPr>
                <w:rFonts w:ascii="Times New Roman" w:hAnsi="Times New Roman" w:cs="Times New Roman"/>
              </w:rPr>
            </w:pPr>
            <w:r>
              <w:rPr>
                <w:rFonts w:ascii="Times New Roman" w:hAnsi="Times New Roman" w:cs="Times New Roman"/>
              </w:rPr>
              <w:t>（5）排风、空调等系统</w:t>
            </w:r>
          </w:p>
          <w:p>
            <w:pPr>
              <w:ind w:firstLine="480" w:firstLineChars="200"/>
              <w:rPr>
                <w:rFonts w:ascii="Times New Roman" w:hAnsi="Times New Roman" w:cs="Times New Roman"/>
              </w:rPr>
            </w:pPr>
            <w:r>
              <w:rPr>
                <w:rFonts w:ascii="Times New Roman" w:hAnsi="Times New Roman" w:cs="Times New Roman"/>
              </w:rPr>
              <w:t>建设项目在</w:t>
            </w:r>
            <w:r>
              <w:rPr>
                <w:rFonts w:hint="eastAsia" w:ascii="Times New Roman" w:hAnsi="Times New Roman" w:cs="Times New Roman"/>
              </w:rPr>
              <w:t>西南侧</w:t>
            </w:r>
            <w:r>
              <w:rPr>
                <w:rFonts w:ascii="Times New Roman" w:hAnsi="Times New Roman" w:cs="Times New Roman"/>
              </w:rPr>
              <w:t>设有地下停车场，拟设地下停车位</w:t>
            </w:r>
            <w:r>
              <w:rPr>
                <w:rFonts w:hint="eastAsia" w:ascii="Times New Roman" w:hAnsi="Times New Roman" w:cs="Times New Roman"/>
              </w:rPr>
              <w:t>184</w:t>
            </w:r>
            <w:r>
              <w:rPr>
                <w:rFonts w:ascii="Times New Roman" w:hAnsi="Times New Roman" w:cs="Times New Roman"/>
              </w:rPr>
              <w:t>个，地下车库设置通风排气系统</w:t>
            </w:r>
            <w:r>
              <w:rPr>
                <w:rFonts w:hint="eastAsia" w:ascii="Times New Roman" w:hAnsi="Times New Roman" w:cs="Times New Roman"/>
              </w:rPr>
              <w:t>。</w:t>
            </w:r>
            <w:r>
              <w:rPr>
                <w:rFonts w:ascii="Times New Roman" w:hAnsi="Times New Roman" w:cs="Times New Roman"/>
              </w:rPr>
              <w:t>教学楼、体育馆、图书馆、教职工用房和学生宿舍等各建筑物根据需要安装挂式空调或柜式空调，建设项目不设中央空调系统，夏季使用的冷风、冬季使用的热风均采用挂式空调或柜式空调，不设中央空调和锅炉供热。</w:t>
            </w:r>
          </w:p>
          <w:p>
            <w:pPr>
              <w:ind w:firstLine="480" w:firstLineChars="200"/>
            </w:pPr>
            <w:r>
              <w:rPr>
                <w:rFonts w:ascii="Times New Roman" w:hAnsi="Times New Roman" w:cs="Times New Roman"/>
              </w:rPr>
              <w:t>学生宿舍、教职工用房在冬季使用的热水采用空气动能热水器，主要能源为电能，不采用锅炉供热。</w:t>
            </w:r>
          </w:p>
          <w:p>
            <w:pPr>
              <w:pStyle w:val="5"/>
              <w:ind w:firstLine="562"/>
              <w:outlineLvl w:val="1"/>
              <w:rPr>
                <w:rFonts w:cs="Times New Roman"/>
              </w:rPr>
            </w:pPr>
            <w:bookmarkStart w:id="8" w:name="_Toc34059480"/>
            <w:r>
              <w:rPr>
                <w:rFonts w:hint="eastAsia" w:cs="Times New Roman"/>
              </w:rPr>
              <w:t>7</w:t>
            </w:r>
            <w:r>
              <w:rPr>
                <w:rFonts w:cs="Times New Roman"/>
              </w:rPr>
              <w:t>、项目劳动定员与运行时间</w:t>
            </w:r>
            <w:bookmarkEnd w:id="8"/>
          </w:p>
          <w:p>
            <w:pPr>
              <w:pStyle w:val="2"/>
              <w:spacing w:after="0"/>
              <w:ind w:firstLine="480" w:firstLineChars="200"/>
              <w:rPr>
                <w:rFonts w:ascii="Times New Roman" w:hAnsi="Times New Roman" w:cs="Times New Roman"/>
              </w:rPr>
            </w:pPr>
            <w:r>
              <w:rPr>
                <w:rFonts w:ascii="Times New Roman" w:hAnsi="Times New Roman" w:cs="Times New Roman"/>
              </w:rPr>
              <w:t>本项目拟定教职工人数</w:t>
            </w:r>
            <w:r>
              <w:rPr>
                <w:rFonts w:hint="eastAsia" w:ascii="Times New Roman" w:hAnsi="Times New Roman" w:cs="Times New Roman"/>
              </w:rPr>
              <w:t>170</w:t>
            </w:r>
            <w:r>
              <w:rPr>
                <w:rFonts w:ascii="Times New Roman" w:hAnsi="Times New Roman" w:cs="Times New Roman"/>
              </w:rPr>
              <w:t>人，学生为</w:t>
            </w:r>
            <w:r>
              <w:rPr>
                <w:rFonts w:hint="eastAsia" w:ascii="Times New Roman" w:hAnsi="Times New Roman" w:cs="Times New Roman"/>
              </w:rPr>
              <w:t>2520</w:t>
            </w:r>
            <w:r>
              <w:rPr>
                <w:rFonts w:ascii="Times New Roman" w:hAnsi="Times New Roman" w:cs="Times New Roman"/>
              </w:rPr>
              <w:t>人，其中</w:t>
            </w:r>
            <w:r>
              <w:rPr>
                <w:rFonts w:hint="eastAsia" w:ascii="Times New Roman" w:hAnsi="Times New Roman" w:cs="Times New Roman"/>
              </w:rPr>
              <w:t>初中部</w:t>
            </w:r>
            <w:r>
              <w:rPr>
                <w:rFonts w:ascii="Times New Roman" w:hAnsi="Times New Roman" w:cs="Times New Roman"/>
              </w:rPr>
              <w:t>全部住宿</w:t>
            </w:r>
            <w:r>
              <w:rPr>
                <w:rFonts w:hint="eastAsia" w:ascii="Times New Roman" w:hAnsi="Times New Roman" w:cs="Times New Roman"/>
              </w:rPr>
              <w:t>(住宿人数为</w:t>
            </w:r>
            <w:r>
              <w:rPr>
                <w:rFonts w:ascii="Times New Roman" w:hAnsi="Times New Roman" w:cs="Times New Roman"/>
              </w:rPr>
              <w:t>900</w:t>
            </w:r>
            <w:r>
              <w:rPr>
                <w:rFonts w:hint="eastAsia" w:ascii="Times New Roman" w:hAnsi="Times New Roman" w:cs="Times New Roman"/>
              </w:rPr>
              <w:t>人)</w:t>
            </w:r>
            <w:r>
              <w:rPr>
                <w:rFonts w:ascii="Times New Roman" w:hAnsi="Times New Roman" w:cs="Times New Roman"/>
              </w:rPr>
              <w:t>，年工作日按2</w:t>
            </w:r>
            <w:r>
              <w:rPr>
                <w:rFonts w:hint="eastAsia" w:ascii="Times New Roman" w:hAnsi="Times New Roman" w:cs="Times New Roman"/>
              </w:rPr>
              <w:t>0</w:t>
            </w:r>
            <w:r>
              <w:rPr>
                <w:rFonts w:ascii="Times New Roman" w:hAnsi="Times New Roman" w:cs="Times New Roman"/>
              </w:rPr>
              <w:t>0天计。</w:t>
            </w:r>
          </w:p>
          <w:p>
            <w:pPr>
              <w:pStyle w:val="5"/>
              <w:ind w:firstLine="562"/>
              <w:outlineLvl w:val="1"/>
              <w:rPr>
                <w:rFonts w:cs="Times New Roman"/>
              </w:rPr>
            </w:pPr>
            <w:bookmarkStart w:id="9" w:name="_Toc34059481"/>
            <w:r>
              <w:rPr>
                <w:rFonts w:hint="eastAsia" w:cs="Times New Roman"/>
              </w:rPr>
              <w:t>8</w:t>
            </w:r>
            <w:r>
              <w:rPr>
                <w:rFonts w:cs="Times New Roman"/>
              </w:rPr>
              <w:t>、产业政策符合性分析</w:t>
            </w:r>
            <w:bookmarkEnd w:id="9"/>
          </w:p>
          <w:p>
            <w:pPr>
              <w:pStyle w:val="2"/>
              <w:spacing w:after="0"/>
              <w:ind w:firstLine="480" w:firstLineChars="200"/>
              <w:rPr>
                <w:rFonts w:ascii="Times New Roman" w:hAnsi="Times New Roman" w:cs="Times New Roman"/>
              </w:rPr>
            </w:pPr>
            <w:r>
              <w:rPr>
                <w:rFonts w:ascii="Times New Roman" w:hAnsi="Times New Roman" w:cs="Times New Roman"/>
              </w:rPr>
              <w:t>对照《产业结构调整指导目录(2019年本)》可知，本项目不属于淘汰、限制类。根据《部分工业行业淘汰落后生产工艺装备和产品指导目录（2010年本）》，本项目使用的原材料、生产设备等，均不属于《部分工业行业淘汰落后生产工艺装备和产品指导目录（2010年本）》中的淘汰类，因此，本项目的建设符合国家产业政策。</w:t>
            </w:r>
          </w:p>
          <w:p>
            <w:pPr>
              <w:pStyle w:val="5"/>
              <w:ind w:firstLine="562"/>
              <w:outlineLvl w:val="1"/>
            </w:pPr>
            <w:bookmarkStart w:id="10" w:name="_Toc34059482"/>
            <w:r>
              <w:rPr>
                <w:rFonts w:hint="eastAsia"/>
              </w:rPr>
              <w:t>9、</w:t>
            </w:r>
            <w:r>
              <w:t>选址合理性分析</w:t>
            </w:r>
            <w:bookmarkEnd w:id="10"/>
          </w:p>
          <w:p>
            <w:pPr>
              <w:pStyle w:val="2"/>
              <w:spacing w:after="0"/>
              <w:ind w:firstLine="480" w:firstLineChars="200"/>
              <w:rPr>
                <w:rFonts w:ascii="Times New Roman" w:hAnsi="Times New Roman" w:cs="Times New Roman"/>
              </w:rPr>
            </w:pPr>
            <w:r>
              <w:rPr>
                <w:rFonts w:ascii="Times New Roman" w:hAnsi="Times New Roman" w:cs="Times New Roman"/>
              </w:rPr>
              <w:t>项目位于岳阳市</w:t>
            </w:r>
            <w:r>
              <w:rPr>
                <w:rFonts w:hint="eastAsia" w:ascii="Times New Roman" w:hAnsi="Times New Roman" w:cs="Times New Roman"/>
              </w:rPr>
              <w:t>经开区木里港管理处新园社区</w:t>
            </w:r>
            <w:r>
              <w:rPr>
                <w:rFonts w:ascii="Times New Roman" w:hAnsi="Times New Roman" w:cs="Times New Roman"/>
              </w:rPr>
              <w:t>，中心地理坐标为东经113.92678°，北纬29.224761°，</w:t>
            </w:r>
            <w:r>
              <w:rPr>
                <w:rFonts w:hint="eastAsia" w:ascii="Times New Roman" w:hAnsi="Times New Roman" w:cs="Times New Roman"/>
              </w:rPr>
              <w:t>本项目用地性质为中小学用地（见附图5）</w:t>
            </w:r>
            <w:r>
              <w:rPr>
                <w:rFonts w:ascii="Times New Roman" w:hAnsi="Times New Roman" w:cs="Times New Roman"/>
              </w:rPr>
              <w:t>。项目所在地不涉及自然保护区、风景名胜区等敏感区域，不占用基本农田，符合环境功能区划要求，项目采取相应的治理措施后，污染物实现达标排放，对外界环境影响较小。环评认为项目选址是可行的。</w:t>
            </w:r>
          </w:p>
          <w:p>
            <w:pPr>
              <w:pStyle w:val="5"/>
              <w:ind w:firstLine="562"/>
              <w:outlineLvl w:val="1"/>
            </w:pPr>
            <w:bookmarkStart w:id="11" w:name="_Toc34059483"/>
            <w:r>
              <w:rPr>
                <w:rFonts w:hint="eastAsia"/>
              </w:rPr>
              <w:t>10、</w:t>
            </w:r>
            <w:r>
              <w:t>“三线一单”符合性分析</w:t>
            </w:r>
            <w:bookmarkEnd w:id="11"/>
          </w:p>
          <w:p>
            <w:pPr>
              <w:pStyle w:val="2"/>
              <w:spacing w:after="0"/>
              <w:ind w:firstLine="480" w:firstLineChars="200"/>
              <w:rPr>
                <w:rFonts w:ascii="Times New Roman" w:hAnsi="Times New Roman" w:cs="Times New Roman"/>
                <w:lang w:val="en-GB"/>
              </w:rPr>
            </w:pPr>
            <w:r>
              <w:rPr>
                <w:rFonts w:ascii="Times New Roman" w:hAnsi="Times New Roman" w:cs="Times New Roman"/>
              </w:rPr>
              <w:t>该项目</w:t>
            </w:r>
            <w:r>
              <w:rPr>
                <w:rFonts w:hint="eastAsia" w:ascii="Times New Roman" w:hAnsi="Times New Roman" w:cs="Times New Roman"/>
              </w:rPr>
              <w:t>为木里港学校新建工程建设项目</w:t>
            </w:r>
            <w:r>
              <w:rPr>
                <w:rFonts w:ascii="Times New Roman" w:hAnsi="Times New Roman" w:cs="Times New Roman"/>
              </w:rPr>
              <w:t>，</w:t>
            </w:r>
            <w:r>
              <w:rPr>
                <w:rFonts w:ascii="Times New Roman" w:hAnsi="Times New Roman" w:cs="Times New Roman"/>
                <w:lang w:val="en-GB"/>
              </w:rPr>
              <w:t>营运过程中不可避免会消耗一定量的电源和资源，项目主要能源为天然气，</w:t>
            </w:r>
            <w:r>
              <w:rPr>
                <w:rFonts w:hint="eastAsia" w:ascii="Times New Roman" w:hAnsi="Times New Roman" w:cs="Times New Roman"/>
                <w:lang w:val="en-GB"/>
              </w:rPr>
              <w:t>用气量</w:t>
            </w:r>
            <w:r>
              <w:rPr>
                <w:rFonts w:ascii="Times New Roman" w:hAnsi="Times New Roman" w:cs="Times New Roman"/>
                <w:lang w:val="en-GB"/>
              </w:rPr>
              <w:t>符合《关于以改善环境质量为核心加强环境影响评价管理的通知》（环环评[2016]150号）中的资源利用上线要求。目前项目区暂未制定环境准入负面清单，项目基本符合要求。</w:t>
            </w:r>
          </w:p>
          <w:p>
            <w:pPr>
              <w:pStyle w:val="2"/>
              <w:spacing w:after="0"/>
              <w:ind w:firstLine="480" w:firstLineChars="200"/>
              <w:rPr>
                <w:rFonts w:ascii="Times New Roman" w:hAnsi="Times New Roman" w:cs="Times New Roman"/>
                <w:lang w:val="en-GB"/>
              </w:rPr>
            </w:pPr>
            <w:r>
              <w:rPr>
                <w:rFonts w:ascii="Times New Roman" w:hAnsi="Times New Roman" w:cs="Times New Roman"/>
                <w:lang w:val="en-GB"/>
              </w:rPr>
              <w:t>综上所述，本项目符合《关于以改善环境质量为核心加强环境影响评价管理的通知》（环环评[2016]</w:t>
            </w:r>
            <w:r>
              <w:rPr>
                <w:rFonts w:ascii="Times New Roman" w:hAnsi="Times New Roman" w:cs="Times New Roman"/>
              </w:rPr>
              <w:t>150</w:t>
            </w:r>
            <w:r>
              <w:rPr>
                <w:rFonts w:ascii="Times New Roman" w:hAnsi="Times New Roman" w:cs="Times New Roman"/>
                <w:lang w:val="en-GB"/>
              </w:rPr>
              <w:t>号）中“三线一单”的相关要求。</w:t>
            </w:r>
          </w:p>
          <w:p>
            <w:pPr>
              <w:spacing w:line="360" w:lineRule="auto"/>
              <w:jc w:val="center"/>
              <w:rPr>
                <w:rFonts w:ascii="Times New Roman" w:hAnsi="Times New Roman" w:cs="Times New Roman"/>
                <w:b/>
                <w:bCs/>
              </w:rPr>
            </w:pPr>
            <w:r>
              <w:rPr>
                <w:rFonts w:ascii="Times New Roman" w:hAnsi="Times New Roman" w:cs="Times New Roman"/>
                <w:b/>
                <w:bCs/>
              </w:rPr>
              <w:t>表1-4  “三线一单”符合性分析</w:t>
            </w:r>
          </w:p>
          <w:tbl>
            <w:tblPr>
              <w:tblStyle w:val="23"/>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737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33" w:type="pct"/>
                  <w:tcBorders>
                    <w:bottom w:val="single" w:color="auto" w:sz="12" w:space="0"/>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内容</w:t>
                  </w:r>
                </w:p>
              </w:tc>
              <w:tc>
                <w:tcPr>
                  <w:tcW w:w="4066" w:type="pct"/>
                  <w:tcBorders>
                    <w:bottom w:val="single" w:color="auto" w:sz="12" w:space="0"/>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符合性分析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33" w:type="pct"/>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生态保护红线</w:t>
                  </w:r>
                </w:p>
              </w:tc>
              <w:tc>
                <w:tcPr>
                  <w:tcW w:w="4066" w:type="pct"/>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项目位于岳阳经济技术开发区木里港管理处新园社区，不属于</w:t>
                  </w:r>
                  <w:r>
                    <w:rPr>
                      <w:rFonts w:hint="eastAsia" w:ascii="Times New Roman" w:hAnsi="Times New Roman" w:cs="Times New Roman"/>
                      <w:color w:val="000000" w:themeColor="text1"/>
                      <w:sz w:val="21"/>
                      <w:szCs w:val="21"/>
                      <w14:textFill>
                        <w14:solidFill>
                          <w14:schemeClr w14:val="tx1"/>
                        </w14:solidFill>
                      </w14:textFill>
                    </w:rPr>
                    <w:t>岳阳市</w:t>
                  </w:r>
                  <w:r>
                    <w:rPr>
                      <w:rFonts w:ascii="Times New Roman" w:hAnsi="Times New Roman" w:cs="Times New Roman"/>
                      <w:color w:val="000000" w:themeColor="text1"/>
                      <w:sz w:val="21"/>
                      <w:szCs w:val="21"/>
                      <w14:textFill>
                        <w14:solidFill>
                          <w14:schemeClr w14:val="tx1"/>
                        </w14:solidFill>
                      </w14:textFill>
                    </w:rPr>
                    <w:t>生态保护红线范围，具体位置见附图，符合生态保护红线要求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933"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资源利用上线</w:t>
                  </w:r>
                </w:p>
              </w:tc>
              <w:tc>
                <w:tcPr>
                  <w:tcW w:w="4066"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本项目营运过程中不可避免会消耗一定量的电源和资源，项目主要能源为</w:t>
                  </w:r>
                  <w:r>
                    <w:rPr>
                      <w:rFonts w:hint="eastAsia" w:ascii="Times New Roman" w:hAnsi="Times New Roman" w:cs="Times New Roman"/>
                      <w:color w:val="000000" w:themeColor="text1"/>
                      <w:sz w:val="21"/>
                      <w:szCs w:val="21"/>
                      <w14:textFill>
                        <w14:solidFill>
                          <w14:schemeClr w14:val="tx1"/>
                        </w14:solidFill>
                      </w14:textFill>
                    </w:rPr>
                    <w:t>天然气</w:t>
                  </w:r>
                  <w:r>
                    <w:rPr>
                      <w:rFonts w:ascii="Times New Roman" w:hAnsi="Times New Roman" w:cs="Times New Roman"/>
                      <w:color w:val="000000" w:themeColor="text1"/>
                      <w:sz w:val="21"/>
                      <w:szCs w:val="21"/>
                      <w14:textFill>
                        <w14:solidFill>
                          <w14:schemeClr w14:val="tx1"/>
                        </w14:solidFill>
                      </w14:textFill>
                    </w:rPr>
                    <w:t>，用</w:t>
                  </w:r>
                  <w:r>
                    <w:rPr>
                      <w:rFonts w:hint="eastAsia" w:ascii="Times New Roman" w:hAnsi="Times New Roman" w:cs="Times New Roman"/>
                      <w:color w:val="000000" w:themeColor="text1"/>
                      <w:sz w:val="21"/>
                      <w:szCs w:val="21"/>
                      <w14:textFill>
                        <w14:solidFill>
                          <w14:schemeClr w14:val="tx1"/>
                        </w14:solidFill>
                      </w14:textFill>
                    </w:rPr>
                    <w:t>气</w:t>
                  </w:r>
                  <w:r>
                    <w:rPr>
                      <w:rFonts w:ascii="Times New Roman" w:hAnsi="Times New Roman" w:cs="Times New Roman"/>
                      <w:color w:val="000000" w:themeColor="text1"/>
                      <w:sz w:val="21"/>
                      <w:szCs w:val="21"/>
                      <w14:textFill>
                        <w14:solidFill>
                          <w14:schemeClr w14:val="tx1"/>
                        </w14:solidFill>
                      </w14:textFill>
                    </w:rPr>
                    <w:t>量符合资源利用上限要求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33"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环境质量底线</w:t>
                  </w:r>
                </w:p>
              </w:tc>
              <w:tc>
                <w:tcPr>
                  <w:tcW w:w="4066"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本项目附近地表水环境、声环境质量均能满足相应标准要求。项目废气经相应处理措施处理后对周围环境很小。符合环境质量底线要求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933"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负面清单</w:t>
                  </w:r>
                </w:p>
              </w:tc>
              <w:tc>
                <w:tcPr>
                  <w:tcW w:w="4066" w:type="pct"/>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目前项目区暂未制定环境准入负面清单，项目符合要求。</w:t>
                  </w:r>
                </w:p>
              </w:tc>
            </w:tr>
          </w:tbl>
          <w:p>
            <w:pPr>
              <w:pStyle w:val="5"/>
              <w:ind w:firstLine="562"/>
              <w:outlineLvl w:val="1"/>
              <w:rPr>
                <w:rFonts w:cs="Times New Roman"/>
              </w:rPr>
            </w:pPr>
            <w:bookmarkStart w:id="12" w:name="_Toc34059484"/>
            <w:r>
              <w:rPr>
                <w:rFonts w:cs="Times New Roman"/>
              </w:rPr>
              <w:t>10、项目总投资及环保投资</w:t>
            </w:r>
            <w:bookmarkEnd w:id="12"/>
          </w:p>
          <w:p>
            <w:pPr>
              <w:pStyle w:val="2"/>
              <w:spacing w:after="0"/>
              <w:ind w:firstLine="480" w:firstLineChars="200"/>
              <w:rPr>
                <w:rFonts w:ascii="Times New Roman" w:hAnsi="Times New Roman" w:cs="Times New Roman"/>
              </w:rPr>
            </w:pPr>
            <w:r>
              <w:rPr>
                <w:rFonts w:ascii="Times New Roman" w:hAnsi="Times New Roman" w:cs="Times New Roman"/>
              </w:rPr>
              <w:t>本项目总投资</w:t>
            </w:r>
            <w:r>
              <w:rPr>
                <w:rFonts w:hint="eastAsia" w:ascii="Times New Roman" w:hAnsi="Times New Roman" w:cs="Times New Roman"/>
              </w:rPr>
              <w:t>8000</w:t>
            </w:r>
            <w:r>
              <w:rPr>
                <w:rFonts w:ascii="Times New Roman" w:hAnsi="Times New Roman" w:cs="Times New Roman"/>
              </w:rPr>
              <w:t>万元，其中环保投资共1055.35万元，占总投资的</w:t>
            </w:r>
            <w:r>
              <w:rPr>
                <w:rFonts w:hint="eastAsia" w:ascii="Times New Roman" w:hAnsi="Times New Roman" w:cs="Times New Roman"/>
              </w:rPr>
              <w:t>1</w:t>
            </w:r>
            <w:r>
              <w:rPr>
                <w:rFonts w:ascii="Times New Roman" w:hAnsi="Times New Roman" w:cs="Times New Roman"/>
              </w:rPr>
              <w:t>3.2%；本项目环保措施及环保投资估算见表7-29。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7"/>
            <w:tcBorders>
              <w:tl2br w:val="nil"/>
              <w:tr2bl w:val="nil"/>
            </w:tcBorders>
            <w:vAlign w:val="center"/>
          </w:tcPr>
          <w:p>
            <w:pPr>
              <w:rPr>
                <w:rFonts w:ascii="Times New Roman" w:hAnsi="Times New Roman" w:cs="Times New Roman"/>
                <w:b/>
                <w:bCs/>
              </w:rPr>
            </w:pPr>
            <w:r>
              <w:rPr>
                <w:rFonts w:ascii="Times New Roman" w:hAnsi="Times New Roman" w:cs="Times New Roman"/>
                <w:b/>
                <w:bCs/>
              </w:rPr>
              <w:t>与项目有关的原有污染情况及主要环境问题</w:t>
            </w:r>
          </w:p>
          <w:p>
            <w:pPr>
              <w:pStyle w:val="2"/>
              <w:spacing w:after="0"/>
              <w:ind w:firstLine="480" w:firstLineChars="200"/>
              <w:rPr>
                <w:rFonts w:ascii="Times New Roman" w:hAnsi="Times New Roman" w:cs="Times New Roman"/>
              </w:rPr>
            </w:pPr>
            <w:r>
              <w:rPr>
                <w:rFonts w:ascii="Times New Roman" w:hAnsi="Times New Roman" w:cs="Times New Roman"/>
              </w:rPr>
              <w:t>本项目为新建项目，</w:t>
            </w:r>
            <w:r>
              <w:rPr>
                <w:rFonts w:hint="eastAsia" w:ascii="Times New Roman" w:hAnsi="Times New Roman" w:cs="Times New Roman"/>
              </w:rPr>
              <w:t>用地现状为荒地，不涉及与项目有关的原有污染情况。</w:t>
            </w:r>
            <w:r>
              <w:rPr>
                <w:rFonts w:ascii="Times New Roman" w:hAnsi="Times New Roman" w:cs="Times New Roman"/>
              </w:rPr>
              <w:t>经现场勘查来看，项目选址地位于岳阳市经开区木里港管理处新园社区</w:t>
            </w:r>
            <w:r>
              <w:rPr>
                <w:rFonts w:hint="eastAsia" w:ascii="Times New Roman" w:hAnsi="Times New Roman" w:cs="Times New Roman"/>
              </w:rPr>
              <w:t>。木里港片区企业多为机械加工、器材生产企业，</w:t>
            </w:r>
            <w:r>
              <w:rPr>
                <w:rFonts w:ascii="Times New Roman" w:hAnsi="Times New Roman" w:cs="Times New Roman"/>
              </w:rPr>
              <w:t>没有大型涉气型污染的工矿企业，</w:t>
            </w:r>
            <w:r>
              <w:rPr>
                <w:rFonts w:hint="eastAsia" w:ascii="Times New Roman" w:hAnsi="Times New Roman" w:cs="Times New Roman"/>
              </w:rPr>
              <w:t>主要污染为企业加工作业噪声，以及</w:t>
            </w:r>
            <w:r>
              <w:rPr>
                <w:rFonts w:ascii="Times New Roman" w:hAnsi="Times New Roman" w:cs="Times New Roman"/>
              </w:rPr>
              <w:t>城市道路的交通噪声。</w:t>
            </w:r>
          </w:p>
          <w:p>
            <w:pPr>
              <w:pStyle w:val="21"/>
              <w:ind w:firstLine="240"/>
              <w:rPr>
                <w:rFonts w:ascii="Times New Roman" w:hAnsi="Times New Roman" w:cs="Times New Roman"/>
              </w:rPr>
            </w:pPr>
          </w:p>
        </w:tc>
      </w:tr>
    </w:tbl>
    <w:p>
      <w:pPr>
        <w:sectPr>
          <w:footerReference r:id="rId3" w:type="default"/>
          <w:pgSz w:w="11906" w:h="16838"/>
          <w:pgMar w:top="1440" w:right="1800" w:bottom="1440" w:left="1800" w:header="851" w:footer="992" w:gutter="0"/>
          <w:pgNumType w:start="1"/>
          <w:cols w:space="425" w:num="1"/>
          <w:docGrid w:type="lines" w:linePitch="312" w:charSpace="0"/>
        </w:sectPr>
      </w:pPr>
    </w:p>
    <w:p>
      <w:pPr>
        <w:pStyle w:val="4"/>
      </w:pPr>
      <w:bookmarkStart w:id="13" w:name="_Toc34059485"/>
      <w:r>
        <w:rPr>
          <w:rFonts w:hint="eastAsia"/>
        </w:rPr>
        <w:t>二、建设项目所在地自然环境简况</w:t>
      </w:r>
      <w:bookmarkEnd w:id="13"/>
    </w:p>
    <w:tbl>
      <w:tblPr>
        <w:tblStyle w:val="24"/>
        <w:tblW w:w="9286"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28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9288" w:type="dxa"/>
            <w:tcBorders>
              <w:tl2br w:val="nil"/>
              <w:tr2bl w:val="nil"/>
            </w:tcBorders>
          </w:tcPr>
          <w:p>
            <w:pPr>
              <w:rPr>
                <w:rFonts w:ascii="Times New Roman" w:hAnsi="Times New Roman" w:cs="Times New Roman"/>
                <w:b/>
                <w:bCs/>
                <w:sz w:val="30"/>
                <w:szCs w:val="30"/>
              </w:rPr>
            </w:pPr>
            <w:r>
              <w:rPr>
                <w:rFonts w:ascii="Times New Roman" w:hAnsi="Times New Roman" w:cs="Times New Roman"/>
                <w:b/>
                <w:bCs/>
                <w:sz w:val="30"/>
                <w:szCs w:val="30"/>
              </w:rPr>
              <w:t>自然环境简况（地形、地貌、地质、气候、气象、水文、植被、生物多样性等）</w:t>
            </w:r>
          </w:p>
          <w:p>
            <w:pPr>
              <w:pStyle w:val="5"/>
              <w:ind w:firstLine="562"/>
              <w:outlineLvl w:val="1"/>
              <w:rPr>
                <w:rFonts w:cs="Times New Roman"/>
              </w:rPr>
            </w:pPr>
            <w:bookmarkStart w:id="14" w:name="_Toc34059486"/>
            <w:r>
              <w:rPr>
                <w:rFonts w:cs="Times New Roman"/>
              </w:rPr>
              <w:t>1、地理位置</w:t>
            </w:r>
            <w:bookmarkEnd w:id="14"/>
          </w:p>
          <w:p>
            <w:pPr>
              <w:ind w:firstLine="480" w:firstLineChars="200"/>
              <w:rPr>
                <w:rFonts w:hint="default" w:ascii="Times New Roman" w:hAnsi="Times New Roman" w:cs="Times New Roman"/>
              </w:rPr>
            </w:pPr>
            <w:r>
              <w:rPr>
                <w:rFonts w:hint="default" w:ascii="Times New Roman" w:hAnsi="Times New Roman" w:cs="Times New Roman"/>
              </w:rPr>
              <w:t>岳阳市位于湖南省东北部，素称“湘北门户”，地处北纬28°25′33″～29°51′00″，东经112°18′31″～114°09′06″之间。东邻江西省铜鼓、修水县和湖北省通城县；南抵湖南省浏阳市、长沙市、望城县；西接湖南省沅江县、南县、安乡县；北接湖北省赤壁、洪湖、监利、石首县（市）；东西横跨177.84公里，南北纵长157.87公里，土地总面积15087平方公里，占全省总面积的7.05%，城市规划区面积845平方公里，其中市区建成区面积78平方公里。</w:t>
            </w:r>
          </w:p>
          <w:p>
            <w:pPr>
              <w:ind w:firstLine="480" w:firstLineChars="200"/>
              <w:rPr>
                <w:rFonts w:hint="default" w:ascii="Times New Roman" w:hAnsi="Times New Roman" w:cs="Times New Roman"/>
              </w:rPr>
            </w:pPr>
            <w:r>
              <w:rPr>
                <w:rFonts w:hint="default" w:ascii="Times New Roman" w:hAnsi="Times New Roman" w:cs="Times New Roman"/>
              </w:rPr>
              <w:t>岳阳经济技术开发区位于岳阳中心城区东部，京珠高速公路、京广铁路、107国道和正在修建的杭瑞高速穿境而过，长江黄金水道通江达海，距长沙黄花机场135公里，武汉天河国际机场185公里，全程为高速公路。</w:t>
            </w:r>
          </w:p>
          <w:p>
            <w:pPr>
              <w:ind w:firstLine="480" w:firstLineChars="200"/>
              <w:rPr>
                <w:rFonts w:ascii="Times New Roman" w:hAnsi="Times New Roman" w:cs="Times New Roman"/>
              </w:rPr>
            </w:pPr>
            <w:r>
              <w:rPr>
                <w:rFonts w:hint="eastAsia" w:ascii="Times New Roman" w:hAnsi="Times New Roman" w:cs="Times New Roman"/>
              </w:rPr>
              <w:t>本</w:t>
            </w:r>
            <w:r>
              <w:rPr>
                <w:rFonts w:ascii="Times New Roman" w:hAnsi="Times New Roman" w:cs="Times New Roman"/>
              </w:rPr>
              <w:t>项目</w:t>
            </w:r>
            <w:r>
              <w:rPr>
                <w:rFonts w:hint="eastAsia" w:ascii="Times New Roman" w:hAnsi="Times New Roman" w:cs="Times New Roman"/>
              </w:rPr>
              <w:t>位</w:t>
            </w:r>
            <w:r>
              <w:rPr>
                <w:rFonts w:ascii="Times New Roman" w:hAnsi="Times New Roman" w:cs="Times New Roman"/>
              </w:rPr>
              <w:t>于岳阳经济技术开发区木里港管理处新园社区（中心地理坐标东经113°</w:t>
            </w:r>
            <w:r>
              <w:rPr>
                <w:rFonts w:hint="eastAsia" w:ascii="Times New Roman" w:hAnsi="Times New Roman" w:cs="Times New Roman"/>
              </w:rPr>
              <w:t>9</w:t>
            </w:r>
            <w:r>
              <w:rPr>
                <w:rFonts w:ascii="Times New Roman" w:hAnsi="Times New Roman" w:cs="Times New Roman"/>
              </w:rPr>
              <w:t>'</w:t>
            </w:r>
            <w:r>
              <w:rPr>
                <w:rFonts w:hint="eastAsia" w:ascii="Times New Roman" w:hAnsi="Times New Roman" w:cs="Times New Roman"/>
              </w:rPr>
              <w:t>23</w:t>
            </w:r>
            <w:r>
              <w:rPr>
                <w:rFonts w:ascii="Times New Roman" w:hAnsi="Times New Roman" w:cs="Times New Roman"/>
              </w:rPr>
              <w:t>.</w:t>
            </w:r>
            <w:r>
              <w:rPr>
                <w:rFonts w:hint="eastAsia" w:ascii="Times New Roman" w:hAnsi="Times New Roman" w:cs="Times New Roman"/>
              </w:rPr>
              <w:t>51</w:t>
            </w:r>
            <w:r>
              <w:rPr>
                <w:rFonts w:ascii="Times New Roman" w:hAnsi="Times New Roman" w:cs="Times New Roman"/>
              </w:rPr>
              <w:t>"、北纬29°22'</w:t>
            </w:r>
            <w:r>
              <w:rPr>
                <w:rFonts w:hint="eastAsia" w:ascii="Times New Roman" w:hAnsi="Times New Roman" w:cs="Times New Roman"/>
              </w:rPr>
              <w:t>46</w:t>
            </w:r>
            <w:r>
              <w:rPr>
                <w:rFonts w:ascii="Times New Roman" w:hAnsi="Times New Roman" w:cs="Times New Roman"/>
              </w:rPr>
              <w:t>.</w:t>
            </w:r>
            <w:r>
              <w:rPr>
                <w:rFonts w:hint="eastAsia" w:ascii="Times New Roman" w:hAnsi="Times New Roman" w:cs="Times New Roman"/>
              </w:rPr>
              <w:t>18</w:t>
            </w:r>
            <w:r>
              <w:rPr>
                <w:rFonts w:ascii="Times New Roman" w:hAnsi="Times New Roman" w:cs="Times New Roman"/>
              </w:rPr>
              <w:t>"），具体位置见附图1。</w:t>
            </w:r>
          </w:p>
          <w:p>
            <w:pPr>
              <w:pStyle w:val="5"/>
              <w:ind w:firstLine="562"/>
              <w:outlineLvl w:val="1"/>
              <w:rPr>
                <w:rFonts w:cs="Times New Roman"/>
              </w:rPr>
            </w:pPr>
            <w:bookmarkStart w:id="15" w:name="_Toc34059487"/>
            <w:r>
              <w:rPr>
                <w:rFonts w:cs="Times New Roman"/>
              </w:rPr>
              <w:t>2、地质地貌</w:t>
            </w:r>
            <w:bookmarkEnd w:id="15"/>
          </w:p>
          <w:p>
            <w:pPr>
              <w:ind w:firstLine="480" w:firstLineChars="200"/>
              <w:rPr>
                <w:rFonts w:ascii="Times New Roman" w:hAnsi="Times New Roman" w:cs="Times New Roman"/>
              </w:rPr>
            </w:pPr>
            <w:r>
              <w:rPr>
                <w:rFonts w:ascii="Times New Roman" w:hAnsi="Times New Roman" w:cs="Times New Roman"/>
              </w:rPr>
              <w:t>岳阳市地处富饶的洞庭湖平原和雄浑的幕阜山区，地貌组织以丘陵、平原为主，山地、丘陵、岗地、平原、水面的比例大致为16∶24∶18∶26∶16。整个地势东高西低，山、丘、岗、平大致东西排列，南北延伸，呈阶梯状向洞庭湖倾斜，形似围椅状。东部山丘地带，中部岗丘地带，约占全市总面积的30%；西部平原地带，约占全市总面积的40%，由河床冲积物堆积而成，地势平坦开阔，地面坡度一般小于5度。下部地层主要由前震旦系垅质板和干枚状板岩组成，有较强风化层，地基承载力一般为300-450KPa，一些地方上部有局部的河湖淤积和坡积层，地基承载力一般为200-300KPa。项目所在地地质结构稳定，地震烈度7度。</w:t>
            </w:r>
          </w:p>
          <w:p>
            <w:pPr>
              <w:pStyle w:val="5"/>
              <w:ind w:firstLine="562"/>
              <w:outlineLvl w:val="1"/>
              <w:rPr>
                <w:rFonts w:cs="Times New Roman"/>
              </w:rPr>
            </w:pPr>
            <w:bookmarkStart w:id="16" w:name="_Toc34059488"/>
            <w:r>
              <w:rPr>
                <w:rFonts w:cs="Times New Roman"/>
              </w:rPr>
              <w:t>3、气候、气象</w:t>
            </w:r>
            <w:bookmarkEnd w:id="16"/>
          </w:p>
          <w:p>
            <w:pPr>
              <w:ind w:firstLine="480" w:firstLineChars="200"/>
              <w:rPr>
                <w:rFonts w:ascii="Times New Roman" w:hAnsi="Times New Roman" w:cs="Times New Roman"/>
              </w:rPr>
            </w:pPr>
            <w:r>
              <w:rPr>
                <w:rFonts w:ascii="Times New Roman" w:hAnsi="Times New Roman" w:cs="Times New Roman"/>
              </w:rPr>
              <w:t>岳阳属于长江中下游</w:t>
            </w:r>
            <w:r>
              <w:fldChar w:fldCharType="begin"/>
            </w:r>
            <w:r>
              <w:instrText xml:space="preserve"> HYPERLINK "http://baike.baidu.com/view/115777.htm" \t "_blank" </w:instrText>
            </w:r>
            <w:r>
              <w:fldChar w:fldCharType="separate"/>
            </w:r>
            <w:r>
              <w:rPr>
                <w:rFonts w:ascii="Times New Roman" w:hAnsi="Times New Roman" w:cs="Times New Roman"/>
              </w:rPr>
              <w:t>地区</w:t>
            </w:r>
            <w:r>
              <w:rPr>
                <w:rFonts w:ascii="Times New Roman" w:hAnsi="Times New Roman" w:cs="Times New Roman"/>
              </w:rPr>
              <w:fldChar w:fldCharType="end"/>
            </w:r>
            <w:r>
              <w:rPr>
                <w:rFonts w:ascii="Times New Roman" w:hAnsi="Times New Roman" w:cs="Times New Roman"/>
              </w:rPr>
              <w:t>北亚热带季风湿润气候区，气候湿润，年平均气温17℃，平均日照数1813.8小时，多年平均降雨量1387.9mm，极端最高气温39.3℃，极端最低气温-11.8℃。年平均降雨量1302毫米，年平均相对湿度为79%，全年无霜期为277天，处日照时数为1722.1至1816.5小时，年太阳辐射总量为109.5至110.4千卡/平方厘米，是湖南日照时数最多的地区之一。气候特点是：温暖期长，严寒期短，四季分明，雨量充沛。年主导风向为北北东，年平均风速为2.8m/s。</w:t>
            </w:r>
          </w:p>
          <w:p>
            <w:pPr>
              <w:pStyle w:val="5"/>
              <w:ind w:firstLine="562"/>
              <w:outlineLvl w:val="1"/>
              <w:rPr>
                <w:rFonts w:cs="Times New Roman"/>
              </w:rPr>
            </w:pPr>
            <w:bookmarkStart w:id="17" w:name="_Toc34059489"/>
            <w:r>
              <w:rPr>
                <w:rFonts w:cs="Times New Roman"/>
              </w:rPr>
              <w:t>4、水文</w:t>
            </w:r>
            <w:bookmarkEnd w:id="17"/>
          </w:p>
          <w:p>
            <w:pPr>
              <w:ind w:firstLine="480" w:firstLineChars="200"/>
              <w:rPr>
                <w:rFonts w:ascii="Times New Roman" w:hAnsi="Times New Roman" w:cs="Times New Roman"/>
              </w:rPr>
            </w:pPr>
            <w:r>
              <w:rPr>
                <w:rFonts w:ascii="Times New Roman" w:hAnsi="Times New Roman" w:cs="Times New Roman"/>
              </w:rPr>
              <w:t>东洞庭湖入长江的总出口江段，年平均过境量3126亿m</w:t>
            </w:r>
            <w:r>
              <w:rPr>
                <w:rFonts w:ascii="Times New Roman" w:hAnsi="Times New Roman" w:cs="Times New Roman"/>
                <w:vertAlign w:val="superscript"/>
              </w:rPr>
              <w:t>3</w:t>
            </w:r>
            <w:r>
              <w:rPr>
                <w:rFonts w:ascii="Times New Roman" w:hAnsi="Times New Roman" w:cs="Times New Roman"/>
              </w:rPr>
              <w:t>，最高水位35.31m，最低水位17.06m。长江水最大流量43460m</w:t>
            </w:r>
            <w:r>
              <w:rPr>
                <w:rFonts w:ascii="Times New Roman" w:hAnsi="Times New Roman" w:cs="Times New Roman"/>
                <w:vertAlign w:val="superscript"/>
              </w:rPr>
              <w:t>3</w:t>
            </w:r>
            <w:r>
              <w:rPr>
                <w:rFonts w:ascii="Times New Roman" w:hAnsi="Times New Roman" w:cs="Times New Roman"/>
              </w:rPr>
              <w:t>/s，最小流量860m</w:t>
            </w:r>
            <w:r>
              <w:rPr>
                <w:rFonts w:ascii="Times New Roman" w:hAnsi="Times New Roman" w:cs="Times New Roman"/>
                <w:vertAlign w:val="superscript"/>
              </w:rPr>
              <w:t>3</w:t>
            </w:r>
            <w:r>
              <w:rPr>
                <w:rFonts w:ascii="Times New Roman" w:hAnsi="Times New Roman" w:cs="Times New Roman"/>
              </w:rPr>
              <w:t>/s。历年平均流量3150m</w:t>
            </w:r>
            <w:r>
              <w:rPr>
                <w:rFonts w:ascii="Times New Roman" w:hAnsi="Times New Roman" w:cs="Times New Roman"/>
                <w:vertAlign w:val="superscript"/>
              </w:rPr>
              <w:t>3</w:t>
            </w:r>
            <w:r>
              <w:rPr>
                <w:rFonts w:ascii="Times New Roman" w:hAnsi="Times New Roman" w:cs="Times New Roman"/>
              </w:rPr>
              <w:t>/s，历年最小流量377m</w:t>
            </w:r>
            <w:r>
              <w:rPr>
                <w:rFonts w:ascii="Times New Roman" w:hAnsi="Times New Roman" w:cs="Times New Roman"/>
                <w:vertAlign w:val="superscript"/>
              </w:rPr>
              <w:t>3</w:t>
            </w:r>
            <w:r>
              <w:rPr>
                <w:rFonts w:ascii="Times New Roman" w:hAnsi="Times New Roman" w:cs="Times New Roman"/>
              </w:rPr>
              <w:t>/s，历年最大断面平均含沙量1.7kg/m</w:t>
            </w:r>
            <w:r>
              <w:rPr>
                <w:rFonts w:ascii="Times New Roman" w:hAnsi="Times New Roman" w:cs="Times New Roman"/>
                <w:vertAlign w:val="superscript"/>
              </w:rPr>
              <w:t>3</w:t>
            </w:r>
            <w:r>
              <w:rPr>
                <w:rFonts w:ascii="Times New Roman" w:hAnsi="Times New Roman" w:cs="Times New Roman"/>
              </w:rPr>
              <w:t>，历年最小断面平均含沙量0.017kg/m</w:t>
            </w:r>
            <w:r>
              <w:rPr>
                <w:rFonts w:ascii="Times New Roman" w:hAnsi="Times New Roman" w:cs="Times New Roman"/>
                <w:vertAlign w:val="superscript"/>
              </w:rPr>
              <w:t>3</w:t>
            </w:r>
            <w:r>
              <w:rPr>
                <w:rFonts w:ascii="Times New Roman" w:hAnsi="Times New Roman" w:cs="Times New Roman"/>
              </w:rPr>
              <w:t>。东洞庭湖水最高水温33.2℃，最低水温3℃，冬季平均水温6.9℃。</w:t>
            </w:r>
          </w:p>
          <w:p>
            <w:pPr>
              <w:ind w:firstLine="480" w:firstLineChars="200"/>
              <w:rPr>
                <w:rFonts w:ascii="Times New Roman" w:hAnsi="Times New Roman" w:cs="Times New Roman"/>
              </w:rPr>
            </w:pPr>
            <w:r>
              <w:rPr>
                <w:rFonts w:ascii="Times New Roman" w:hAnsi="Times New Roman" w:cs="Times New Roman"/>
              </w:rPr>
              <w:t>南湖：属于洞庭湖湖泊水系，位于岳阳市中心城区南部，原为洞庭湖东岸的一个大湖湾，因修筑南津港大堤与洞庭湖相分隔，仅出口处建有一个与洞庭湖相通的控制性闸口，成为了一个半封闭型湖泊。湖水依赖湖面降水、集雨区径流水和城市污水处理厂外排废水补给，出流经控制闸泄入洞庭湖，现有水面面积11.83平方公里，沿湖岸线50多公里，平均水深3.0米，最大水深9米，最高控制水位27.68米，正常蓄水量为3549万立方米，集雨面积约为150平方公里。</w:t>
            </w:r>
          </w:p>
          <w:p>
            <w:pPr>
              <w:pStyle w:val="5"/>
              <w:ind w:firstLine="562"/>
              <w:outlineLvl w:val="1"/>
              <w:rPr>
                <w:rFonts w:cs="Times New Roman"/>
              </w:rPr>
            </w:pPr>
            <w:bookmarkStart w:id="18" w:name="_Toc34059490"/>
            <w:r>
              <w:rPr>
                <w:rFonts w:cs="Times New Roman"/>
              </w:rPr>
              <w:t>5、土壤</w:t>
            </w:r>
            <w:bookmarkEnd w:id="18"/>
          </w:p>
          <w:p>
            <w:pPr>
              <w:ind w:firstLine="480" w:firstLineChars="200"/>
              <w:rPr>
                <w:rFonts w:ascii="Times New Roman" w:hAnsi="Times New Roman" w:cs="Times New Roman"/>
              </w:rPr>
            </w:pPr>
            <w:r>
              <w:rPr>
                <w:rFonts w:ascii="Times New Roman" w:hAnsi="Times New Roman" w:cs="Times New Roman"/>
              </w:rPr>
              <w:t>岳阳市总国土面积15019平方公里，耕地面积32.10千公顷，其中水田面积17.33千公顷。区域表土为受长江和洞庭湖控制的冲积土，表层以粘土为主，夹少量砂土，厚度在0.4-12.64m，呈红褐色、黄褐色、深绿色和紫红色等类型；自然土壤以湖土和红壤为主，农耕以水稻土和菜园土为主。</w:t>
            </w:r>
          </w:p>
          <w:p>
            <w:pPr>
              <w:pStyle w:val="5"/>
              <w:ind w:firstLine="562"/>
              <w:outlineLvl w:val="1"/>
              <w:rPr>
                <w:rFonts w:cs="Times New Roman"/>
              </w:rPr>
            </w:pPr>
            <w:bookmarkStart w:id="19" w:name="_Toc34059491"/>
            <w:r>
              <w:rPr>
                <w:rFonts w:cs="Times New Roman"/>
              </w:rPr>
              <w:t>6、生态环境概况</w:t>
            </w:r>
            <w:bookmarkEnd w:id="19"/>
          </w:p>
          <w:p>
            <w:pPr>
              <w:ind w:firstLine="480" w:firstLineChars="200"/>
              <w:rPr>
                <w:rFonts w:ascii="Times New Roman" w:hAnsi="Times New Roman" w:cs="Times New Roman"/>
              </w:rPr>
            </w:pPr>
            <w:r>
              <w:rPr>
                <w:rFonts w:ascii="Times New Roman" w:hAnsi="Times New Roman" w:cs="Times New Roman"/>
              </w:rPr>
              <w:t>经开区属于亚热带季风气候，四季分明，春季多雨，秋季晴朗干旱，为各种动植物的生长繁殖提供了适宜的环境。</w:t>
            </w:r>
          </w:p>
          <w:p>
            <w:pPr>
              <w:ind w:firstLine="480" w:firstLineChars="200"/>
              <w:rPr>
                <w:rFonts w:ascii="Times New Roman" w:hAnsi="Times New Roman" w:cs="Times New Roman"/>
              </w:rPr>
            </w:pPr>
            <w:r>
              <w:rPr>
                <w:rFonts w:ascii="Times New Roman" w:hAnsi="Times New Roman" w:cs="Times New Roman"/>
              </w:rPr>
              <w:t>植物中的乔木类有马尾松、杉木、小叶栎、苦槠、石砾、栲树、樟树、喜树、梧桐、枣、榕叶冬青、樱桃、珍珠莲等，灌木类有问荆、金樱子、盐肤木、山胡桃、水竹、篌竹、油茶、鸡婆柳、胡枝子、黄栀子，野鸭椿等。动物中有斑鸠、野鸭等鸟类，还有蛇、野兔、野鼠等。</w:t>
            </w:r>
          </w:p>
          <w:p>
            <w:pPr>
              <w:ind w:firstLine="480" w:firstLineChars="200"/>
              <w:rPr>
                <w:rFonts w:ascii="Times New Roman" w:hAnsi="Times New Roman" w:cs="Times New Roman"/>
              </w:rPr>
            </w:pPr>
            <w:r>
              <w:rPr>
                <w:rFonts w:ascii="Times New Roman" w:hAnsi="Times New Roman" w:cs="Times New Roman"/>
              </w:rPr>
              <w:t>区内植物属中亚热带长绿阔叶、针叶林带，树木有松、杉、樟、扬、柳等，山体植被覆盖较好。区内农作物主要有水稻、油菜等。根据现场调查，项目区域没有珍稀濒危等需要保护的野生动植物。</w:t>
            </w:r>
          </w:p>
          <w:p>
            <w:pPr>
              <w:pStyle w:val="5"/>
              <w:ind w:firstLine="562"/>
              <w:outlineLvl w:val="1"/>
              <w:rPr>
                <w:rFonts w:cs="Times New Roman"/>
              </w:rPr>
            </w:pPr>
            <w:bookmarkStart w:id="20" w:name="_Toc34059492"/>
            <w:r>
              <w:rPr>
                <w:rFonts w:cs="Times New Roman"/>
              </w:rPr>
              <w:t>7、罗家坡污水处理厂基本情况</w:t>
            </w:r>
            <w:bookmarkEnd w:id="20"/>
          </w:p>
          <w:p>
            <w:pPr>
              <w:ind w:firstLine="480" w:firstLineChars="200"/>
              <w:rPr>
                <w:rFonts w:ascii="Times New Roman" w:hAnsi="Times New Roman" w:cs="Times New Roman"/>
              </w:rPr>
            </w:pPr>
            <w:r>
              <w:rPr>
                <w:rFonts w:ascii="Times New Roman" w:hAnsi="Times New Roman" w:cs="Times New Roman"/>
              </w:rPr>
              <w:t>罗家坡污水处理厂位于岳阳经济技术开发区康王乡新华村，位临北港河，占地47亩，工程总投资12000万元。工程汇水包括开发区北中片区、岳阳市金凤桥区共2个城市污水排放口，工程设计日处理污水量为5×10</w:t>
            </w:r>
            <w:r>
              <w:rPr>
                <w:rFonts w:ascii="Times New Roman" w:hAnsi="Times New Roman" w:cs="Times New Roman"/>
                <w:vertAlign w:val="superscript"/>
              </w:rPr>
              <w:t>4</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/d。于2010年6月建成并投入使用。项目由江苏鹏鹞环保集团岳阳鹏鹞水务有限公司以BOT方式投资建设，采用A</w:t>
            </w:r>
            <w:r>
              <w:rPr>
                <w:rFonts w:ascii="Times New Roman" w:hAnsi="Times New Roman" w:cs="Times New Roman"/>
                <w:vertAlign w:val="superscript"/>
              </w:rPr>
              <w:t>2</w:t>
            </w:r>
            <w:r>
              <w:rPr>
                <w:rFonts w:ascii="Times New Roman" w:hAnsi="Times New Roman" w:cs="Times New Roman"/>
              </w:rPr>
              <w:t>/O工艺。目前，岳阳市经济开发区污水处理厂建设工程实际处理效率为80%左右。工程已于2011年7月通过湖南省环保厅验收。根据岳阳市经济开发区污水处理厂提供的2015年运行情况数据可知，污水厂平均进水水质浓度BOD</w:t>
            </w:r>
            <w:r>
              <w:rPr>
                <w:rFonts w:ascii="Times New Roman" w:hAnsi="Times New Roman" w:cs="Times New Roman"/>
                <w:vertAlign w:val="subscript"/>
              </w:rPr>
              <w:t>5</w:t>
            </w:r>
            <w:r>
              <w:rPr>
                <w:rFonts w:ascii="Times New Roman" w:hAnsi="Times New Roman" w:cs="Times New Roman"/>
              </w:rPr>
              <w:t>为95.81mg/L，COD为222.34mg/L， NH</w:t>
            </w:r>
            <w:r>
              <w:rPr>
                <w:rFonts w:ascii="Times New Roman" w:hAnsi="Times New Roman" w:cs="Times New Roman"/>
                <w:vertAlign w:val="subscript"/>
              </w:rPr>
              <w:t>3</w:t>
            </w:r>
            <w:r>
              <w:rPr>
                <w:rFonts w:ascii="Times New Roman" w:hAnsi="Times New Roman" w:cs="Times New Roman"/>
              </w:rPr>
              <w:t>-N为18.59mg/L，TP为1.41mg/L，SS为91.19mg/L，粪大肠菌群为28975个/L。</w:t>
            </w:r>
          </w:p>
          <w:p>
            <w:pPr>
              <w:ind w:firstLine="480" w:firstLineChars="200"/>
              <w:rPr>
                <w:rFonts w:ascii="Times New Roman" w:hAnsi="Times New Roman" w:cs="Times New Roman"/>
              </w:rPr>
            </w:pPr>
            <w:r>
              <w:rPr>
                <w:rFonts w:ascii="Times New Roman" w:hAnsi="Times New Roman" w:cs="Times New Roman"/>
              </w:rPr>
              <w:t>根据罗家坡污水处理厂2018年前2季度监督性监测数据，罗家坡污水处理厂废水经处理后能达到《城镇污水处理厂污染物排放标准》中的一级A标准要求。</w:t>
            </w:r>
          </w:p>
          <w:p>
            <w:pPr>
              <w:spacing w:line="360" w:lineRule="auto"/>
              <w:jc w:val="center"/>
              <w:rPr>
                <w:rFonts w:ascii="Times New Roman" w:hAnsi="Times New Roman" w:cs="Times New Roman"/>
              </w:rPr>
            </w:pPr>
            <w:r>
              <w:rPr>
                <w:rFonts w:ascii="Times New Roman" w:hAnsi="Times New Roman" w:cs="Times New Roman"/>
                <w:b/>
                <w:bCs/>
              </w:rPr>
              <w:t>表2-1  罗家坡污水处理厂水质监测结果表   单位：mg/L，pH除外</w:t>
            </w:r>
          </w:p>
          <w:tbl>
            <w:tblPr>
              <w:tblStyle w:val="23"/>
              <w:tblW w:w="90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55"/>
              <w:gridCol w:w="1816"/>
              <w:gridCol w:w="735"/>
              <w:gridCol w:w="704"/>
              <w:gridCol w:w="1019"/>
              <w:gridCol w:w="1082"/>
              <w:gridCol w:w="971"/>
              <w:gridCol w:w="955"/>
              <w:gridCol w:w="8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1" w:type="dxa"/>
                  <w:gridSpan w:val="2"/>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控制项目</w:t>
                  </w:r>
                </w:p>
              </w:tc>
              <w:tc>
                <w:tcPr>
                  <w:tcW w:w="73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pH</w:t>
                  </w:r>
                </w:p>
              </w:tc>
              <w:tc>
                <w:tcPr>
                  <w:tcW w:w="704"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COD</w:t>
                  </w:r>
                </w:p>
              </w:tc>
              <w:tc>
                <w:tcPr>
                  <w:tcW w:w="1019"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石油类</w:t>
                  </w:r>
                </w:p>
              </w:tc>
              <w:tc>
                <w:tcPr>
                  <w:tcW w:w="108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氨氮</w:t>
                  </w:r>
                </w:p>
              </w:tc>
              <w:tc>
                <w:tcPr>
                  <w:tcW w:w="971"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挥发酚</w:t>
                  </w:r>
                </w:p>
              </w:tc>
              <w:tc>
                <w:tcPr>
                  <w:tcW w:w="95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BOD</w:t>
                  </w:r>
                  <w:r>
                    <w:rPr>
                      <w:rFonts w:ascii="Times New Roman" w:hAnsi="Times New Roman" w:cs="Times New Roman"/>
                      <w:b/>
                      <w:bCs/>
                      <w:sz w:val="21"/>
                      <w:szCs w:val="21"/>
                      <w:vertAlign w:val="subscript"/>
                    </w:rPr>
                    <w:t>5</w:t>
                  </w:r>
                </w:p>
              </w:tc>
              <w:tc>
                <w:tcPr>
                  <w:tcW w:w="82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总磷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5" w:type="dxa"/>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处理设施排口</w:t>
                  </w:r>
                </w:p>
              </w:tc>
              <w:tc>
                <w:tcPr>
                  <w:tcW w:w="1816"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2018年第一季度</w:t>
                  </w:r>
                </w:p>
              </w:tc>
              <w:tc>
                <w:tcPr>
                  <w:tcW w:w="73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7.13</w:t>
                  </w:r>
                </w:p>
              </w:tc>
              <w:tc>
                <w:tcPr>
                  <w:tcW w:w="704"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33</w:t>
                  </w:r>
                </w:p>
              </w:tc>
              <w:tc>
                <w:tcPr>
                  <w:tcW w:w="1019"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0.04</w:t>
                  </w:r>
                </w:p>
              </w:tc>
              <w:tc>
                <w:tcPr>
                  <w:tcW w:w="108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0.025ND</w:t>
                  </w:r>
                </w:p>
              </w:tc>
              <w:tc>
                <w:tcPr>
                  <w:tcW w:w="971"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0.01ND</w:t>
                  </w:r>
                </w:p>
              </w:tc>
              <w:tc>
                <w:tcPr>
                  <w:tcW w:w="95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4.9</w:t>
                  </w:r>
                </w:p>
              </w:tc>
              <w:tc>
                <w:tcPr>
                  <w:tcW w:w="82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5" w:type="dxa"/>
                  <w:vMerge w:val="continue"/>
                  <w:tcBorders>
                    <w:tl2br w:val="nil"/>
                    <w:tr2bl w:val="nil"/>
                  </w:tcBorders>
                  <w:vAlign w:val="center"/>
                </w:tcPr>
                <w:p>
                  <w:pPr>
                    <w:widowControl/>
                    <w:spacing w:line="240" w:lineRule="auto"/>
                    <w:jc w:val="center"/>
                    <w:rPr>
                      <w:rFonts w:ascii="Times New Roman" w:hAnsi="Times New Roman" w:cs="Times New Roman"/>
                      <w:sz w:val="21"/>
                      <w:szCs w:val="21"/>
                    </w:rPr>
                  </w:pPr>
                </w:p>
              </w:tc>
              <w:tc>
                <w:tcPr>
                  <w:tcW w:w="181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2018年第二季度</w:t>
                  </w:r>
                </w:p>
              </w:tc>
              <w:tc>
                <w:tcPr>
                  <w:tcW w:w="7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6.15</w:t>
                  </w:r>
                </w:p>
              </w:tc>
              <w:tc>
                <w:tcPr>
                  <w:tcW w:w="70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35</w:t>
                  </w:r>
                </w:p>
              </w:tc>
              <w:tc>
                <w:tcPr>
                  <w:tcW w:w="101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0.08</w:t>
                  </w:r>
                </w:p>
              </w:tc>
              <w:tc>
                <w:tcPr>
                  <w:tcW w:w="108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0.122</w:t>
                  </w:r>
                </w:p>
              </w:tc>
              <w:tc>
                <w:tcPr>
                  <w:tcW w:w="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0.01ND</w:t>
                  </w:r>
                </w:p>
              </w:tc>
              <w:tc>
                <w:tcPr>
                  <w:tcW w:w="95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82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7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一级A标准限值</w:t>
                  </w:r>
                </w:p>
              </w:tc>
              <w:tc>
                <w:tcPr>
                  <w:tcW w:w="7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6～9</w:t>
                  </w:r>
                </w:p>
              </w:tc>
              <w:tc>
                <w:tcPr>
                  <w:tcW w:w="70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50</w:t>
                  </w:r>
                </w:p>
              </w:tc>
              <w:tc>
                <w:tcPr>
                  <w:tcW w:w="101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108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w:t>
                  </w:r>
                </w:p>
              </w:tc>
              <w:tc>
                <w:tcPr>
                  <w:tcW w:w="95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w:t>
                  </w:r>
                </w:p>
              </w:tc>
              <w:tc>
                <w:tcPr>
                  <w:tcW w:w="82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w:t>
                  </w:r>
                </w:p>
              </w:tc>
            </w:tr>
          </w:tbl>
          <w:p>
            <w:pPr>
              <w:ind w:firstLine="480" w:firstLineChars="200"/>
              <w:rPr>
                <w:rFonts w:ascii="Times New Roman" w:hAnsi="Times New Roman" w:cs="Times New Roman"/>
              </w:rPr>
            </w:pPr>
            <w:r>
              <w:rPr>
                <w:rFonts w:ascii="Times New Roman" w:hAnsi="Times New Roman" w:cs="Times New Roman"/>
              </w:rPr>
              <w:t>目前，岳阳市经济开发区污水处理厂建设工程实际处理</w:t>
            </w:r>
            <w:r>
              <w:rPr>
                <w:rFonts w:hint="eastAsia" w:ascii="Times New Roman" w:hAnsi="Times New Roman" w:cs="Times New Roman"/>
              </w:rPr>
              <w:t>效率为80%左右</w:t>
            </w:r>
            <w:r>
              <w:rPr>
                <w:rFonts w:ascii="Times New Roman" w:hAnsi="Times New Roman" w:cs="Times New Roman"/>
              </w:rPr>
              <w:t>。</w:t>
            </w:r>
            <w:r>
              <w:rPr>
                <w:rFonts w:hint="eastAsia" w:ascii="Times New Roman" w:hAnsi="Times New Roman" w:cs="Times New Roman"/>
              </w:rPr>
              <w:t>项目所在地污水管网已修建完成，但污水管网未与罗家坡污水处理厂接通。</w:t>
            </w:r>
          </w:p>
          <w:p>
            <w:pPr>
              <w:numPr>
                <w:ilvl w:val="0"/>
                <w:numId w:val="4"/>
              </w:numPr>
              <w:spacing w:line="360" w:lineRule="auto"/>
              <w:ind w:firstLine="562" w:firstLineChars="200"/>
              <w:rPr>
                <w:rFonts w:ascii="Times New Roman" w:hAnsi="Times New Roman" w:eastAsia="宋体" w:cs="Times New Roman"/>
                <w:b/>
                <w:sz w:val="28"/>
              </w:rPr>
            </w:pPr>
            <w:r>
              <w:rPr>
                <w:rFonts w:ascii="Times New Roman" w:hAnsi="Times New Roman" w:eastAsia="宋体" w:cs="Times New Roman"/>
                <w:b/>
                <w:sz w:val="28"/>
              </w:rPr>
              <w:t>区域环境功能</w:t>
            </w:r>
          </w:p>
          <w:p>
            <w:pPr>
              <w:ind w:firstLine="480" w:firstLineChars="200"/>
              <w:rPr>
                <w:rFonts w:ascii="Times New Roman" w:hAnsi="Times New Roman" w:cs="Times New Roman"/>
              </w:rPr>
            </w:pPr>
            <w:r>
              <w:rPr>
                <w:rFonts w:ascii="Times New Roman" w:hAnsi="Times New Roman" w:cs="Times New Roman"/>
              </w:rPr>
              <w:t>本项目所在地环境功能属性见表2-2。</w:t>
            </w:r>
          </w:p>
          <w:p>
            <w:pPr>
              <w:pStyle w:val="2"/>
              <w:jc w:val="center"/>
              <w:rPr>
                <w:rFonts w:ascii="Times New Roman" w:hAnsi="Times New Roman" w:cs="Times New Roman"/>
              </w:rPr>
            </w:pPr>
            <w:r>
              <w:rPr>
                <w:rFonts w:ascii="Times New Roman" w:hAnsi="Times New Roman" w:cs="Times New Roman"/>
                <w:b/>
              </w:rPr>
              <w:t>表2-2  项目拟选址环境功能属性</w:t>
            </w:r>
          </w:p>
          <w:tbl>
            <w:tblPr>
              <w:tblStyle w:val="23"/>
              <w:tblW w:w="9072"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Layout w:type="fixed"/>
              <w:tblCellMar>
                <w:top w:w="0" w:type="dxa"/>
                <w:left w:w="108" w:type="dxa"/>
                <w:bottom w:w="0" w:type="dxa"/>
                <w:right w:w="108" w:type="dxa"/>
              </w:tblCellMar>
            </w:tblPr>
            <w:tblGrid>
              <w:gridCol w:w="712"/>
              <w:gridCol w:w="3031"/>
              <w:gridCol w:w="1427"/>
              <w:gridCol w:w="2941"/>
              <w:gridCol w:w="961"/>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编号</w:t>
                  </w:r>
                </w:p>
              </w:tc>
              <w:tc>
                <w:tcPr>
                  <w:tcW w:w="3031" w:type="dxa"/>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项目</w:t>
                  </w:r>
                </w:p>
              </w:tc>
              <w:tc>
                <w:tcPr>
                  <w:tcW w:w="5329" w:type="dxa"/>
                  <w:gridSpan w:val="3"/>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功能属性及执行标准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vMerge w:val="restart"/>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3031" w:type="dxa"/>
                  <w:vMerge w:val="restart"/>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水环境功能区</w:t>
                  </w:r>
                </w:p>
              </w:tc>
              <w:tc>
                <w:tcPr>
                  <w:tcW w:w="1427" w:type="dxa"/>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南湖</w:t>
                  </w:r>
                </w:p>
              </w:tc>
              <w:tc>
                <w:tcPr>
                  <w:tcW w:w="2941" w:type="dxa"/>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景观</w:t>
                  </w:r>
                  <w:r>
                    <w:rPr>
                      <w:rFonts w:hint="eastAsia" w:ascii="Times New Roman" w:hAnsi="Times New Roman" w:cs="Times New Roman"/>
                      <w:sz w:val="21"/>
                      <w:szCs w:val="21"/>
                    </w:rPr>
                    <w:t>娱乐</w:t>
                  </w:r>
                  <w:r>
                    <w:rPr>
                      <w:rFonts w:ascii="Times New Roman" w:hAnsi="Times New Roman" w:cs="Times New Roman"/>
                      <w:sz w:val="21"/>
                      <w:szCs w:val="21"/>
                    </w:rPr>
                    <w:t>用水</w:t>
                  </w:r>
                </w:p>
              </w:tc>
              <w:tc>
                <w:tcPr>
                  <w:tcW w:w="961" w:type="dxa"/>
                  <w:vMerge w:val="restart"/>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(GB3838-2002)Ⅲ类标准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3031"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42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北港河</w:t>
                  </w:r>
                </w:p>
              </w:tc>
              <w:tc>
                <w:tcPr>
                  <w:tcW w:w="294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渔业用水水域</w:t>
                  </w:r>
                </w:p>
              </w:tc>
              <w:tc>
                <w:tcPr>
                  <w:tcW w:w="961"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3031"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4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巴山港</w:t>
                  </w:r>
                </w:p>
              </w:tc>
              <w:tc>
                <w:tcPr>
                  <w:tcW w:w="2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eastAsia="宋体" w:cs="Times New Roman"/>
                      <w:sz w:val="21"/>
                      <w:szCs w:val="21"/>
                    </w:rPr>
                    <w:t>景观娱乐用水</w:t>
                  </w:r>
                </w:p>
              </w:tc>
              <w:tc>
                <w:tcPr>
                  <w:tcW w:w="961"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环境空气质量功能区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二类区</w:t>
                  </w:r>
                  <w:r>
                    <w:rPr>
                      <w:rFonts w:hint="eastAsia" w:ascii="Times New Roman" w:hAnsi="Times New Roman" w:cs="Times New Roman"/>
                      <w:sz w:val="21"/>
                      <w:szCs w:val="21"/>
                    </w:rPr>
                    <w:t>（两控区），</w:t>
                  </w:r>
                  <w:r>
                    <w:rPr>
                      <w:rFonts w:ascii="Times New Roman" w:hAnsi="Times New Roman" w:cs="Times New Roman"/>
                      <w:sz w:val="21"/>
                      <w:szCs w:val="21"/>
                    </w:rPr>
                    <w:t>环境空气质量执行《环境空气质量标准》</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（GB3095-2012）中的二级标准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声环境功能区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二类区，</w:t>
                  </w:r>
                  <w:r>
                    <w:rPr>
                      <w:rFonts w:ascii="Times New Roman" w:hAnsi="Times New Roman" w:cs="Times New Roman"/>
                      <w:sz w:val="21"/>
                      <w:szCs w:val="21"/>
                    </w:rPr>
                    <w:t>《声环境质量标准》（GB3096-2008）</w:t>
                  </w:r>
                  <w:r>
                    <w:rPr>
                      <w:rFonts w:hint="eastAsia" w:ascii="Times New Roman" w:hAnsi="Times New Roman" w:cs="Times New Roman"/>
                      <w:sz w:val="21"/>
                      <w:szCs w:val="21"/>
                    </w:rPr>
                    <w:t>2</w:t>
                  </w:r>
                  <w:r>
                    <w:rPr>
                      <w:rFonts w:ascii="Times New Roman" w:hAnsi="Times New Roman" w:cs="Times New Roman"/>
                      <w:sz w:val="21"/>
                      <w:szCs w:val="21"/>
                    </w:rPr>
                    <w:t>类标准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是否基本农田保护区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是否森林公园</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是否生态功能保护区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是否水土流失重点防治区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是否人口密集区</w:t>
                  </w:r>
                </w:p>
              </w:tc>
              <w:tc>
                <w:tcPr>
                  <w:tcW w:w="5329" w:type="dxa"/>
                  <w:gridSpan w:val="3"/>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是</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9</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是否重点文物保护单位</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是否三河、三湖、两控区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是“两控区”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11</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是否水库库区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12</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是否污水处理厂集水范围</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否（污水管网还未与罗家坡污水处理厂接通）</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454" w:hRule="atLeast"/>
                <w:jc w:val="center"/>
              </w:trPr>
              <w:tc>
                <w:tcPr>
                  <w:tcW w:w="7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13</w:t>
                  </w:r>
                </w:p>
              </w:tc>
              <w:tc>
                <w:tcPr>
                  <w:tcW w:w="303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是否属于生态敏感与脆弱区</w:t>
                  </w:r>
                </w:p>
              </w:tc>
              <w:tc>
                <w:tcPr>
                  <w:tcW w:w="5329"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否</w:t>
                  </w:r>
                </w:p>
              </w:tc>
            </w:tr>
          </w:tbl>
          <w:p>
            <w:pPr>
              <w:pStyle w:val="2"/>
              <w:jc w:val="center"/>
              <w:rPr>
                <w:rFonts w:ascii="Times New Roman" w:hAnsi="Times New Roman" w:cs="Times New Roman"/>
              </w:rPr>
            </w:pPr>
          </w:p>
        </w:tc>
      </w:tr>
    </w:tbl>
    <w:p>
      <w:pPr>
        <w:pStyle w:val="4"/>
      </w:pPr>
    </w:p>
    <w:p/>
    <w:p>
      <w:pPr>
        <w:pStyle w:val="4"/>
      </w:pPr>
    </w:p>
    <w:p/>
    <w:p>
      <w:pPr>
        <w:pStyle w:val="4"/>
      </w:pPr>
    </w:p>
    <w:p/>
    <w:p>
      <w:pPr>
        <w:pStyle w:val="4"/>
      </w:pPr>
    </w:p>
    <w:p/>
    <w:p>
      <w:pPr>
        <w:pStyle w:val="2"/>
      </w:pPr>
    </w:p>
    <w:p>
      <w:pPr>
        <w:pStyle w:val="4"/>
        <w:rPr>
          <w:bCs/>
        </w:rPr>
      </w:pPr>
      <w:bookmarkStart w:id="21" w:name="_Toc34059493"/>
      <w:r>
        <w:rPr>
          <w:rFonts w:hint="eastAsia"/>
        </w:rPr>
        <w:t>三、</w:t>
      </w:r>
      <w:r>
        <w:rPr>
          <w:rFonts w:hint="eastAsia"/>
          <w:bCs/>
        </w:rPr>
        <w:t>环境质量状况</w:t>
      </w:r>
      <w:bookmarkEnd w:id="21"/>
    </w:p>
    <w:tbl>
      <w:tblPr>
        <w:tblStyle w:val="24"/>
        <w:tblW w:w="9288"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457"/>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9288" w:type="dxa"/>
            <w:tcBorders>
              <w:tl2br w:val="nil"/>
              <w:tr2bl w:val="nil"/>
            </w:tcBorders>
          </w:tcPr>
          <w:p>
            <w:pPr>
              <w:spacing w:line="360" w:lineRule="auto"/>
              <w:ind w:right="120" w:rightChars="50"/>
              <w:rPr>
                <w:rFonts w:ascii="Times New Roman" w:hAnsi="Times New Roman" w:cs="Times New Roman"/>
              </w:rPr>
            </w:pPr>
            <w:r>
              <w:rPr>
                <w:rFonts w:ascii="Times New Roman" w:hAnsi="Times New Roman" w:cs="Times New Roman"/>
              </w:rPr>
              <w:t>建设项目所在地区域环境质量现状及主要环境问题（环境空气、地面水、地下水、声环境、生态环境）</w:t>
            </w:r>
          </w:p>
          <w:p>
            <w:pPr>
              <w:pStyle w:val="5"/>
              <w:ind w:firstLine="562"/>
              <w:outlineLvl w:val="1"/>
              <w:rPr>
                <w:rFonts w:cs="Times New Roman"/>
              </w:rPr>
            </w:pPr>
            <w:bookmarkStart w:id="22" w:name="_Toc34059494"/>
            <w:r>
              <w:rPr>
                <w:rFonts w:cs="Times New Roman"/>
              </w:rPr>
              <w:t>1、环境空气质量状况</w:t>
            </w:r>
            <w:bookmarkEnd w:id="22"/>
          </w:p>
          <w:p>
            <w:pPr>
              <w:ind w:firstLine="480" w:firstLineChars="200"/>
              <w:rPr>
                <w:rFonts w:ascii="Times New Roman" w:hAnsi="Times New Roman" w:cs="Times New Roman"/>
              </w:rPr>
            </w:pPr>
            <w:r>
              <w:rPr>
                <w:rFonts w:ascii="Times New Roman" w:hAnsi="Times New Roman" w:cs="Times New Roman"/>
              </w:rPr>
              <w:t>本项目所在区域达标判定数据来源于岳阳市环境保护局发布的《岳阳市二〇一八年 度环境质量公报》，根据该公报，岳阳市2018年区域环境空气质量数据见下表</w:t>
            </w:r>
            <w:r>
              <w:rPr>
                <w:rFonts w:hint="eastAsia" w:ascii="Times New Roman" w:hAnsi="Times New Roman" w:cs="Times New Roman"/>
              </w:rPr>
              <w:t>：</w:t>
            </w:r>
          </w:p>
          <w:p>
            <w:pPr>
              <w:pStyle w:val="2"/>
              <w:spacing w:after="0" w:line="360" w:lineRule="auto"/>
              <w:jc w:val="center"/>
              <w:rPr>
                <w:rFonts w:ascii="Times New Roman" w:hAnsi="Times New Roman" w:cs="Times New Roman"/>
                <w:b/>
                <w:bCs/>
              </w:rPr>
            </w:pPr>
            <w:r>
              <w:rPr>
                <w:rFonts w:ascii="Times New Roman" w:hAnsi="Times New Roman" w:cs="Times New Roman"/>
                <w:b/>
                <w:bCs/>
              </w:rPr>
              <w:t>表</w:t>
            </w:r>
            <w:r>
              <w:rPr>
                <w:rFonts w:hint="eastAsia" w:ascii="Times New Roman" w:hAnsi="Times New Roman" w:cs="Times New Roman"/>
                <w:b/>
                <w:bCs/>
              </w:rPr>
              <w:t>3</w:t>
            </w:r>
            <w:r>
              <w:rPr>
                <w:rFonts w:ascii="Times New Roman" w:hAnsi="Times New Roman" w:cs="Times New Roman"/>
                <w:b/>
                <w:bCs/>
              </w:rPr>
              <w:t xml:space="preserve">-1 </w:t>
            </w:r>
            <w:r>
              <w:rPr>
                <w:rFonts w:hint="eastAsia" w:ascii="Times New Roman" w:hAnsi="Times New Roman" w:cs="Times New Roman"/>
                <w:b/>
                <w:bCs/>
                <w:lang w:val="en-US" w:eastAsia="zh-CN"/>
              </w:rPr>
              <w:t xml:space="preserve"> </w:t>
            </w:r>
            <w:r>
              <w:rPr>
                <w:rFonts w:hint="eastAsia" w:ascii="Times New Roman" w:hAnsi="Times New Roman" w:cs="Times New Roman"/>
                <w:b/>
                <w:bCs/>
              </w:rPr>
              <w:t>岳阳市</w:t>
            </w:r>
            <w:r>
              <w:rPr>
                <w:rFonts w:ascii="Times New Roman" w:hAnsi="Times New Roman" w:cs="Times New Roman"/>
                <w:b/>
                <w:bCs/>
              </w:rPr>
              <w:t>空气质量现状评价表</w:t>
            </w:r>
          </w:p>
          <w:tbl>
            <w:tblPr>
              <w:tblStyle w:val="24"/>
              <w:tblW w:w="924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2162"/>
              <w:gridCol w:w="1540"/>
              <w:gridCol w:w="1540"/>
              <w:gridCol w:w="1540"/>
              <w:gridCol w:w="15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污染物</w:t>
                  </w:r>
                </w:p>
              </w:tc>
              <w:tc>
                <w:tcPr>
                  <w:tcW w:w="2138"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年评价指标</w:t>
                  </w:r>
                </w:p>
              </w:tc>
              <w:tc>
                <w:tcPr>
                  <w:tcW w:w="1523"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现状浓度（μg/m³）</w:t>
                  </w:r>
                </w:p>
              </w:tc>
              <w:tc>
                <w:tcPr>
                  <w:tcW w:w="1523"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标准值（μg/m³）</w:t>
                  </w:r>
                </w:p>
              </w:tc>
              <w:tc>
                <w:tcPr>
                  <w:tcW w:w="1523"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占标率/%</w:t>
                  </w:r>
                </w:p>
              </w:tc>
              <w:tc>
                <w:tcPr>
                  <w:tcW w:w="1523" w:type="dxa"/>
                  <w:tcBorders>
                    <w:top w:val="single" w:color="auto" w:sz="12" w:space="0"/>
                    <w:bottom w:val="single" w:color="auto" w:sz="12" w:space="0"/>
                  </w:tcBorders>
                  <w:vAlign w:val="center"/>
                </w:tcPr>
                <w:p>
                  <w:pPr>
                    <w:pStyle w:val="31"/>
                    <w:jc w:val="center"/>
                    <w:rPr>
                      <w:rFonts w:ascii="Times New Roman" w:hAnsi="Times New Roman"/>
                      <w:b/>
                      <w:bCs/>
                      <w:sz w:val="21"/>
                      <w:szCs w:val="21"/>
                    </w:rPr>
                  </w:pPr>
                  <w:r>
                    <w:rPr>
                      <w:rFonts w:hAnsi="宋体"/>
                      <w:b/>
                      <w:bCs/>
                      <w:sz w:val="21"/>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color w:val="auto"/>
                      <w:sz w:val="21"/>
                      <w:szCs w:val="21"/>
                    </w:rPr>
                    <w:t>SO</w:t>
                  </w:r>
                  <w:r>
                    <w:rPr>
                      <w:rFonts w:hint="eastAsia" w:ascii="Times New Roman" w:hAnsi="Times New Roman"/>
                      <w:color w:val="auto"/>
                      <w:sz w:val="21"/>
                      <w:szCs w:val="21"/>
                      <w:vertAlign w:val="subscript"/>
                    </w:rPr>
                    <w:t>2</w:t>
                  </w:r>
                </w:p>
              </w:tc>
              <w:tc>
                <w:tcPr>
                  <w:tcW w:w="2138" w:type="dxa"/>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sz w:val="21"/>
                      <w:szCs w:val="21"/>
                    </w:rPr>
                    <w:t>年平均质量浓度</w:t>
                  </w:r>
                </w:p>
              </w:tc>
              <w:tc>
                <w:tcPr>
                  <w:tcW w:w="1523" w:type="dxa"/>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sz w:val="21"/>
                      <w:szCs w:val="21"/>
                    </w:rPr>
                    <w:t>10</w:t>
                  </w:r>
                </w:p>
              </w:tc>
              <w:tc>
                <w:tcPr>
                  <w:tcW w:w="1523" w:type="dxa"/>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sz w:val="21"/>
                      <w:szCs w:val="21"/>
                    </w:rPr>
                    <w:t>60</w:t>
                  </w:r>
                </w:p>
              </w:tc>
              <w:tc>
                <w:tcPr>
                  <w:tcW w:w="1523" w:type="dxa"/>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sz w:val="21"/>
                      <w:szCs w:val="21"/>
                    </w:rPr>
                    <w:t>16.7</w:t>
                  </w:r>
                </w:p>
              </w:tc>
              <w:tc>
                <w:tcPr>
                  <w:tcW w:w="1523" w:type="dxa"/>
                  <w:vMerge w:val="restart"/>
                  <w:tcBorders>
                    <w:top w:val="single" w:color="auto" w:sz="12" w:space="0"/>
                  </w:tcBorders>
                  <w:vAlign w:val="center"/>
                </w:tcPr>
                <w:p>
                  <w:pPr>
                    <w:pStyle w:val="31"/>
                    <w:jc w:val="center"/>
                    <w:rPr>
                      <w:rFonts w:ascii="Times New Roman" w:hAnsi="Times New Roman"/>
                      <w:sz w:val="21"/>
                      <w:szCs w:val="21"/>
                    </w:rPr>
                  </w:pPr>
                  <w:r>
                    <w:rPr>
                      <w:rFonts w:hint="eastAsia" w:ascii="Times New Roman" w:hAnsi="Times New Roman"/>
                      <w:sz w:val="21"/>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NO</w:t>
                  </w:r>
                  <w:r>
                    <w:rPr>
                      <w:rFonts w:hint="eastAsia" w:ascii="Times New Roman" w:hAnsi="Times New Roman"/>
                      <w:color w:val="auto"/>
                      <w:sz w:val="21"/>
                      <w:szCs w:val="21"/>
                      <w:vertAlign w:val="subscript"/>
                    </w:rPr>
                    <w:t>2</w:t>
                  </w:r>
                </w:p>
              </w:tc>
              <w:tc>
                <w:tcPr>
                  <w:tcW w:w="2138" w:type="dxa"/>
                  <w:vAlign w:val="center"/>
                </w:tcPr>
                <w:p>
                  <w:pPr>
                    <w:pStyle w:val="31"/>
                    <w:jc w:val="center"/>
                    <w:rPr>
                      <w:rFonts w:ascii="Times New Roman" w:hAnsi="Times New Roman"/>
                      <w:sz w:val="21"/>
                      <w:szCs w:val="21"/>
                    </w:rPr>
                  </w:pPr>
                  <w:r>
                    <w:rPr>
                      <w:rFonts w:hint="eastAsia" w:ascii="Times New Roman" w:hAnsi="Times New Roman"/>
                      <w:sz w:val="21"/>
                      <w:szCs w:val="21"/>
                    </w:rPr>
                    <w:t>年平均质量浓度</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23</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40</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57.5</w:t>
                  </w:r>
                </w:p>
              </w:tc>
              <w:tc>
                <w:tcPr>
                  <w:tcW w:w="1523" w:type="dxa"/>
                  <w:vMerge w:val="continue"/>
                  <w:vAlign w:val="center"/>
                </w:tcPr>
                <w:p>
                  <w:pPr>
                    <w:pStyle w:val="31"/>
                    <w:jc w:val="both"/>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PM</w:t>
                  </w:r>
                  <w:r>
                    <w:rPr>
                      <w:rFonts w:hint="eastAsia" w:ascii="Times New Roman" w:hAnsi="Times New Roman"/>
                      <w:color w:val="auto"/>
                      <w:sz w:val="21"/>
                      <w:szCs w:val="21"/>
                      <w:vertAlign w:val="subscript"/>
                    </w:rPr>
                    <w:t>10</w:t>
                  </w:r>
                </w:p>
              </w:tc>
              <w:tc>
                <w:tcPr>
                  <w:tcW w:w="2138" w:type="dxa"/>
                  <w:vAlign w:val="center"/>
                </w:tcPr>
                <w:p>
                  <w:pPr>
                    <w:pStyle w:val="31"/>
                    <w:jc w:val="center"/>
                    <w:rPr>
                      <w:rFonts w:ascii="Times New Roman" w:hAnsi="Times New Roman"/>
                      <w:sz w:val="21"/>
                      <w:szCs w:val="21"/>
                    </w:rPr>
                  </w:pPr>
                  <w:r>
                    <w:rPr>
                      <w:rFonts w:hint="eastAsia" w:ascii="Times New Roman" w:hAnsi="Times New Roman"/>
                      <w:sz w:val="21"/>
                      <w:szCs w:val="21"/>
                    </w:rPr>
                    <w:t>年平均质量浓度</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72</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70</w:t>
                  </w:r>
                </w:p>
              </w:tc>
              <w:tc>
                <w:tcPr>
                  <w:tcW w:w="1523" w:type="dxa"/>
                  <w:vAlign w:val="center"/>
                </w:tcPr>
                <w:p>
                  <w:pPr>
                    <w:pStyle w:val="31"/>
                    <w:jc w:val="center"/>
                    <w:rPr>
                      <w:rFonts w:ascii="Times New Roman" w:hAnsi="Times New Roman"/>
                      <w:b/>
                      <w:bCs/>
                      <w:sz w:val="21"/>
                      <w:szCs w:val="21"/>
                    </w:rPr>
                  </w:pPr>
                  <w:r>
                    <w:rPr>
                      <w:rFonts w:hint="eastAsia" w:ascii="Times New Roman" w:hAnsi="Times New Roman"/>
                      <w:b/>
                      <w:bCs/>
                      <w:sz w:val="21"/>
                      <w:szCs w:val="21"/>
                    </w:rPr>
                    <w:t>102.8</w:t>
                  </w:r>
                </w:p>
              </w:tc>
              <w:tc>
                <w:tcPr>
                  <w:tcW w:w="1523" w:type="dxa"/>
                  <w:vMerge w:val="continue"/>
                  <w:vAlign w:val="center"/>
                </w:tcPr>
                <w:p>
                  <w:pPr>
                    <w:pStyle w:val="31"/>
                    <w:jc w:val="both"/>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PM</w:t>
                  </w:r>
                  <w:r>
                    <w:rPr>
                      <w:rFonts w:hint="eastAsia" w:ascii="Times New Roman" w:hAnsi="Times New Roman"/>
                      <w:color w:val="auto"/>
                      <w:sz w:val="21"/>
                      <w:szCs w:val="21"/>
                      <w:vertAlign w:val="subscript"/>
                    </w:rPr>
                    <w:t>2.5</w:t>
                  </w:r>
                </w:p>
              </w:tc>
              <w:tc>
                <w:tcPr>
                  <w:tcW w:w="2138" w:type="dxa"/>
                  <w:vAlign w:val="center"/>
                </w:tcPr>
                <w:p>
                  <w:pPr>
                    <w:pStyle w:val="31"/>
                    <w:jc w:val="center"/>
                    <w:rPr>
                      <w:rFonts w:ascii="Times New Roman" w:hAnsi="Times New Roman"/>
                      <w:sz w:val="21"/>
                      <w:szCs w:val="21"/>
                    </w:rPr>
                  </w:pPr>
                  <w:r>
                    <w:rPr>
                      <w:rFonts w:hint="eastAsia" w:ascii="Times New Roman" w:hAnsi="Times New Roman"/>
                      <w:sz w:val="21"/>
                      <w:szCs w:val="21"/>
                    </w:rPr>
                    <w:t>年平均质量浓度</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45</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35</w:t>
                  </w:r>
                </w:p>
              </w:tc>
              <w:tc>
                <w:tcPr>
                  <w:tcW w:w="1523" w:type="dxa"/>
                  <w:vAlign w:val="center"/>
                </w:tcPr>
                <w:p>
                  <w:pPr>
                    <w:pStyle w:val="31"/>
                    <w:jc w:val="center"/>
                    <w:rPr>
                      <w:rFonts w:ascii="Times New Roman" w:hAnsi="Times New Roman"/>
                      <w:b/>
                      <w:bCs/>
                      <w:sz w:val="21"/>
                      <w:szCs w:val="21"/>
                    </w:rPr>
                  </w:pPr>
                  <w:r>
                    <w:rPr>
                      <w:rFonts w:hint="eastAsia" w:ascii="Times New Roman" w:hAnsi="Times New Roman"/>
                      <w:b/>
                      <w:bCs/>
                      <w:sz w:val="21"/>
                      <w:szCs w:val="21"/>
                    </w:rPr>
                    <w:t>128.6</w:t>
                  </w:r>
                </w:p>
              </w:tc>
              <w:tc>
                <w:tcPr>
                  <w:tcW w:w="1523" w:type="dxa"/>
                  <w:vMerge w:val="continue"/>
                  <w:vAlign w:val="center"/>
                </w:tcPr>
                <w:p>
                  <w:pPr>
                    <w:pStyle w:val="31"/>
                    <w:jc w:val="both"/>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vAlign w:val="center"/>
                </w:tcPr>
                <w:p>
                  <w:pPr>
                    <w:jc w:val="center"/>
                    <w:rPr>
                      <w:rFonts w:ascii="Times New Roman" w:hAnsi="Times New Roman"/>
                      <w:szCs w:val="21"/>
                    </w:rPr>
                  </w:pPr>
                  <w:r>
                    <w:rPr>
                      <w:rFonts w:hint="eastAsia" w:ascii="Times New Roman" w:hAnsi="Times New Roman"/>
                      <w:szCs w:val="21"/>
                    </w:rPr>
                    <w:t>CO</w:t>
                  </w:r>
                </w:p>
              </w:tc>
              <w:tc>
                <w:tcPr>
                  <w:tcW w:w="213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第95百分位数日平均质量浓度</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1400</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4000</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35.0</w:t>
                  </w:r>
                </w:p>
              </w:tc>
              <w:tc>
                <w:tcPr>
                  <w:tcW w:w="1523" w:type="dxa"/>
                  <w:vMerge w:val="continue"/>
                  <w:vAlign w:val="center"/>
                </w:tcPr>
                <w:p>
                  <w:pPr>
                    <w:pStyle w:val="31"/>
                    <w:jc w:val="both"/>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O</w:t>
                  </w:r>
                  <w:r>
                    <w:rPr>
                      <w:rFonts w:hint="eastAsia" w:ascii="Times New Roman" w:hAnsi="Times New Roman"/>
                      <w:color w:val="auto"/>
                      <w:sz w:val="21"/>
                      <w:szCs w:val="21"/>
                      <w:vertAlign w:val="subscript"/>
                    </w:rPr>
                    <w:t>3</w:t>
                  </w:r>
                </w:p>
              </w:tc>
              <w:tc>
                <w:tcPr>
                  <w:tcW w:w="2138" w:type="dxa"/>
                  <w:vAlign w:val="center"/>
                </w:tcPr>
                <w:p>
                  <w:pPr>
                    <w:pStyle w:val="31"/>
                    <w:jc w:val="center"/>
                    <w:rPr>
                      <w:rFonts w:ascii="Times New Roman" w:hAnsi="Times New Roman"/>
                      <w:sz w:val="21"/>
                      <w:szCs w:val="21"/>
                    </w:rPr>
                  </w:pPr>
                  <w:r>
                    <w:rPr>
                      <w:rFonts w:hint="eastAsia" w:ascii="Times New Roman" w:hAnsi="Times New Roman"/>
                      <w:color w:val="auto"/>
                      <w:sz w:val="21"/>
                      <w:szCs w:val="21"/>
                    </w:rPr>
                    <w:t>第90百分位数日平均质量浓度</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155</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160</w:t>
                  </w:r>
                </w:p>
              </w:tc>
              <w:tc>
                <w:tcPr>
                  <w:tcW w:w="1523" w:type="dxa"/>
                  <w:vAlign w:val="center"/>
                </w:tcPr>
                <w:p>
                  <w:pPr>
                    <w:pStyle w:val="31"/>
                    <w:jc w:val="center"/>
                    <w:rPr>
                      <w:rFonts w:ascii="Times New Roman" w:hAnsi="Times New Roman"/>
                      <w:sz w:val="21"/>
                      <w:szCs w:val="21"/>
                    </w:rPr>
                  </w:pPr>
                  <w:r>
                    <w:rPr>
                      <w:rFonts w:hint="eastAsia" w:ascii="Times New Roman" w:hAnsi="Times New Roman"/>
                      <w:sz w:val="21"/>
                      <w:szCs w:val="21"/>
                    </w:rPr>
                    <w:t>96.8</w:t>
                  </w:r>
                </w:p>
              </w:tc>
              <w:tc>
                <w:tcPr>
                  <w:tcW w:w="1523" w:type="dxa"/>
                  <w:vMerge w:val="continue"/>
                  <w:vAlign w:val="center"/>
                </w:tcPr>
                <w:p>
                  <w:pPr>
                    <w:pStyle w:val="31"/>
                    <w:jc w:val="both"/>
                    <w:rPr>
                      <w:rFonts w:ascii="Times New Roman" w:hAnsi="Times New Roman"/>
                      <w:sz w:val="21"/>
                      <w:szCs w:val="21"/>
                    </w:rPr>
                  </w:pPr>
                </w:p>
              </w:tc>
            </w:tr>
          </w:tbl>
          <w:p>
            <w:pPr>
              <w:pStyle w:val="31"/>
              <w:jc w:val="both"/>
              <w:rPr>
                <w:rFonts w:ascii="Times New Roman" w:hAnsi="Times New Roman"/>
                <w:color w:val="auto"/>
              </w:rPr>
            </w:pPr>
            <w:r>
              <w:rPr>
                <w:rFonts w:ascii="Times New Roman" w:hAnsi="Times New Roman"/>
                <w:sz w:val="21"/>
                <w:szCs w:val="21"/>
              </w:rPr>
              <w:t>注：《岳阳市二〇一八年度环境质量公报》未公布SO</w:t>
            </w:r>
            <w:r>
              <w:rPr>
                <w:rFonts w:ascii="Times New Roman" w:hAnsi="Times New Roman"/>
                <w:sz w:val="21"/>
                <w:szCs w:val="21"/>
                <w:vertAlign w:val="subscript"/>
              </w:rPr>
              <w:t>2</w:t>
            </w:r>
            <w:r>
              <w:rPr>
                <w:rFonts w:ascii="Times New Roman" w:hAnsi="Times New Roman"/>
                <w:sz w:val="21"/>
                <w:szCs w:val="21"/>
              </w:rPr>
              <w:t>、NO</w:t>
            </w:r>
            <w:r>
              <w:rPr>
                <w:rFonts w:ascii="Times New Roman" w:hAnsi="Times New Roman"/>
                <w:sz w:val="21"/>
                <w:szCs w:val="21"/>
                <w:vertAlign w:val="subscript"/>
              </w:rPr>
              <w:t>2</w:t>
            </w:r>
            <w:r>
              <w:rPr>
                <w:rFonts w:ascii="Times New Roman" w:hAnsi="Times New Roman"/>
                <w:sz w:val="21"/>
                <w:szCs w:val="21"/>
              </w:rPr>
              <w:t>、PM</w:t>
            </w:r>
            <w:r>
              <w:rPr>
                <w:rFonts w:ascii="Times New Roman" w:hAnsi="Times New Roman"/>
                <w:sz w:val="21"/>
                <w:szCs w:val="21"/>
                <w:vertAlign w:val="subscript"/>
              </w:rPr>
              <w:t>10</w:t>
            </w:r>
            <w:r>
              <w:rPr>
                <w:rFonts w:ascii="Times New Roman" w:hAnsi="Times New Roman"/>
                <w:sz w:val="21"/>
                <w:szCs w:val="21"/>
              </w:rPr>
              <w:t>、PM</w:t>
            </w:r>
            <w:r>
              <w:rPr>
                <w:rFonts w:ascii="Times New Roman" w:hAnsi="Times New Roman"/>
                <w:sz w:val="21"/>
                <w:szCs w:val="21"/>
                <w:vertAlign w:val="subscript"/>
              </w:rPr>
              <w:t>2.5</w:t>
            </w:r>
            <w:r>
              <w:rPr>
                <w:rFonts w:ascii="Times New Roman" w:hAnsi="Times New Roman"/>
                <w:sz w:val="21"/>
                <w:szCs w:val="21"/>
              </w:rPr>
              <w:t>相应的百分位数日平均质量浓度。</w:t>
            </w:r>
          </w:p>
          <w:p>
            <w:pPr>
              <w:ind w:firstLine="480" w:firstLineChars="200"/>
              <w:rPr>
                <w:rFonts w:ascii="Times New Roman" w:hAnsi="Times New Roman" w:cs="Times New Roman"/>
              </w:rPr>
            </w:pPr>
            <w:r>
              <w:rPr>
                <w:rFonts w:hint="eastAsia" w:ascii="Times New Roman" w:hAnsi="Times New Roman" w:cs="Times New Roman"/>
              </w:rPr>
              <w:t>根据《环境影响评价技术导则 大气环境》（HJ2.2-2018）第 6.4.1.1 条“城市环境 空气质量达标情况评价指标为 SO</w:t>
            </w:r>
            <w:r>
              <w:rPr>
                <w:rFonts w:hint="eastAsia" w:ascii="Times New Roman" w:hAnsi="Times New Roman" w:cs="Times New Roman"/>
                <w:vertAlign w:val="subscript"/>
              </w:rPr>
              <w:t>2</w:t>
            </w:r>
            <w:r>
              <w:rPr>
                <w:rFonts w:hint="eastAsia" w:ascii="Times New Roman" w:hAnsi="Times New Roman" w:cs="Times New Roman"/>
              </w:rPr>
              <w:t>、NO</w:t>
            </w:r>
            <w:r>
              <w:rPr>
                <w:rFonts w:hint="eastAsia" w:ascii="Times New Roman" w:hAnsi="Times New Roman" w:cs="Times New Roman"/>
                <w:vertAlign w:val="subscript"/>
              </w:rPr>
              <w:t>2</w:t>
            </w:r>
            <w:r>
              <w:rPr>
                <w:rFonts w:hint="eastAsia" w:ascii="Times New Roman" w:hAnsi="Times New Roman" w:cs="Times New Roman"/>
              </w:rPr>
              <w:t>、PM</w:t>
            </w:r>
            <w:r>
              <w:rPr>
                <w:rFonts w:hint="eastAsia" w:ascii="Times New Roman" w:hAnsi="Times New Roman" w:cs="Times New Roman"/>
                <w:vertAlign w:val="subscript"/>
              </w:rPr>
              <w:t>10</w:t>
            </w:r>
            <w:r>
              <w:rPr>
                <w:rFonts w:hint="eastAsia" w:ascii="Times New Roman" w:hAnsi="Times New Roman" w:cs="Times New Roman"/>
              </w:rPr>
              <w:t>、PM</w:t>
            </w:r>
            <w:r>
              <w:rPr>
                <w:rFonts w:hint="eastAsia" w:ascii="Times New Roman" w:hAnsi="Times New Roman" w:cs="Times New Roman"/>
                <w:vertAlign w:val="subscript"/>
              </w:rPr>
              <w:t>2.5</w:t>
            </w:r>
            <w:r>
              <w:rPr>
                <w:rFonts w:hint="eastAsia" w:ascii="Times New Roman" w:hAnsi="Times New Roman" w:cs="Times New Roman"/>
              </w:rPr>
              <w:t>、CO 和 O</w:t>
            </w:r>
            <w:r>
              <w:rPr>
                <w:rFonts w:hint="eastAsia" w:ascii="Times New Roman" w:hAnsi="Times New Roman" w:cs="Times New Roman"/>
                <w:vertAlign w:val="subscript"/>
              </w:rPr>
              <w:t>3</w:t>
            </w:r>
            <w:r>
              <w:rPr>
                <w:rFonts w:hint="eastAsia" w:ascii="Times New Roman" w:hAnsi="Times New Roman" w:cs="Times New Roman"/>
              </w:rPr>
              <w:t>，六项污染物全部达标即为城市环境空气质量达标”。故本项目所在区域 2018 年为环境空气质量不达标区。</w:t>
            </w:r>
          </w:p>
          <w:p>
            <w:pPr>
              <w:ind w:firstLine="480" w:firstLineChars="200"/>
              <w:rPr>
                <w:rFonts w:ascii="Times New Roman" w:hAnsi="Times New Roman" w:cs="Times New Roman"/>
              </w:rPr>
            </w:pPr>
            <w:r>
              <w:rPr>
                <w:rFonts w:hint="eastAsia" w:ascii="Times New Roman" w:hAnsi="Times New Roman" w:cs="Times New Roman"/>
              </w:rPr>
              <w:t xml:space="preserve"> 根据《湖南省污染防治攻坚战三年行动计划（2018-2020 年）》、《湖南省“蓝天 保卫战”实施方案》（2018-2020 年）文件内容要求，湖南省人民政府持续深入开展大 气污染治理，采取的主要措施如下： </w:t>
            </w:r>
          </w:p>
          <w:p>
            <w:pPr>
              <w:ind w:firstLine="480" w:firstLineChars="200"/>
              <w:rPr>
                <w:rFonts w:ascii="Times New Roman" w:hAnsi="Times New Roman" w:cs="Times New Roman"/>
              </w:rPr>
            </w:pPr>
            <w:r>
              <w:rPr>
                <w:rFonts w:hint="eastAsia" w:ascii="Times New Roman" w:hAnsi="Times New Roman" w:cs="Times New Roman"/>
              </w:rPr>
              <w:t xml:space="preserve">①积极推动转型升级 </w:t>
            </w:r>
          </w:p>
          <w:p>
            <w:pPr>
              <w:ind w:firstLine="480" w:firstLineChars="200"/>
              <w:rPr>
                <w:rFonts w:ascii="Times New Roman" w:hAnsi="Times New Roman" w:cs="Times New Roman"/>
              </w:rPr>
            </w:pPr>
            <w:r>
              <w:rPr>
                <w:rFonts w:hint="eastAsia" w:ascii="Times New Roman" w:hAnsi="Times New Roman" w:cs="Times New Roman"/>
              </w:rPr>
              <w:t xml:space="preserve">a 促进产业结构调整、b 推进“散乱污”企业整治、c 优化能源结构调整。d 加快清 洁能源替代利用、e 推动交通结构调整、f 加快绿色交通体系建设、g 推进油品提质升 级。 </w:t>
            </w:r>
          </w:p>
          <w:p>
            <w:pPr>
              <w:ind w:firstLine="480" w:firstLineChars="200"/>
              <w:rPr>
                <w:rFonts w:ascii="Times New Roman" w:hAnsi="Times New Roman" w:cs="Times New Roman"/>
              </w:rPr>
            </w:pPr>
            <w:r>
              <w:rPr>
                <w:rFonts w:hint="eastAsia" w:ascii="Times New Roman" w:hAnsi="Times New Roman" w:cs="Times New Roman"/>
              </w:rPr>
              <w:t xml:space="preserve">②加大污染治理力度 </w:t>
            </w:r>
          </w:p>
          <w:p>
            <w:pPr>
              <w:ind w:firstLine="480" w:firstLineChars="200"/>
              <w:rPr>
                <w:rFonts w:ascii="Times New Roman" w:hAnsi="Times New Roman" w:cs="Times New Roman"/>
              </w:rPr>
            </w:pPr>
            <w:r>
              <w:rPr>
                <w:rFonts w:hint="eastAsia" w:ascii="Times New Roman" w:hAnsi="Times New Roman" w:cs="Times New Roman"/>
              </w:rPr>
              <w:t>a推动工业污染源稳定达标排放、b加强工业企业无组织排放管控、c加强工业园区 大气污染防治、d 推动重点地区和重点行业执行大气污染物特别排放限值、e 推进火电 钢铁行业超低排放改造、f 全面推进工业 VOCs 综合治理、g 打好柴油货车污染治理攻 坚战、h 加强非道路移动机械和船舶污染管控、i 加强扬尘污染治理、j 严禁秸秆露天焚 烧、k 加强生活面源整治。</w:t>
            </w:r>
          </w:p>
          <w:p>
            <w:pPr>
              <w:ind w:firstLine="480" w:firstLineChars="200"/>
              <w:rPr>
                <w:rFonts w:ascii="Times New Roman" w:hAnsi="Times New Roman" w:cs="Times New Roman"/>
              </w:rPr>
            </w:pPr>
            <w:r>
              <w:rPr>
                <w:rFonts w:hint="eastAsia" w:ascii="Times New Roman" w:hAnsi="Times New Roman" w:cs="Times New Roman"/>
              </w:rPr>
              <w:t>根据《湖南省污染防治攻坚战三年行动计划（2018-2020 年）》，岳阳市 2020 年 PM</w:t>
            </w:r>
            <w:r>
              <w:rPr>
                <w:rFonts w:hint="eastAsia" w:ascii="Times New Roman" w:hAnsi="Times New Roman" w:cs="Times New Roman"/>
                <w:vertAlign w:val="subscript"/>
              </w:rPr>
              <w:t>10</w:t>
            </w:r>
            <w:r>
              <w:rPr>
                <w:rFonts w:hint="eastAsia" w:ascii="Times New Roman" w:hAnsi="Times New Roman" w:cs="Times New Roman"/>
              </w:rPr>
              <w:t>、PM</w:t>
            </w:r>
            <w:r>
              <w:rPr>
                <w:rFonts w:hint="eastAsia" w:ascii="Times New Roman" w:hAnsi="Times New Roman" w:cs="Times New Roman"/>
                <w:vertAlign w:val="subscript"/>
              </w:rPr>
              <w:t xml:space="preserve">2.5 </w:t>
            </w:r>
            <w:r>
              <w:rPr>
                <w:rFonts w:hint="eastAsia" w:ascii="Times New Roman" w:hAnsi="Times New Roman" w:cs="Times New Roman"/>
              </w:rPr>
              <w:t>的浓度改善目标分别为 42μg/m</w:t>
            </w:r>
            <w:r>
              <w:rPr>
                <w:rFonts w:hint="eastAsia" w:ascii="Times New Roman" w:hAnsi="Times New Roman" w:cs="Times New Roman"/>
                <w:vertAlign w:val="superscript"/>
              </w:rPr>
              <w:t>3</w:t>
            </w:r>
            <w:r>
              <w:rPr>
                <w:rFonts w:hint="eastAsia" w:ascii="Times New Roman" w:hAnsi="Times New Roman" w:cs="Times New Roman"/>
              </w:rPr>
              <w:t>和 68μg/m</w:t>
            </w:r>
            <w:r>
              <w:rPr>
                <w:rFonts w:hint="eastAsia" w:ascii="Times New Roman" w:hAnsi="Times New Roman" w:cs="Times New Roman"/>
                <w:vertAlign w:val="superscript"/>
              </w:rPr>
              <w:t>3</w:t>
            </w:r>
            <w:r>
              <w:rPr>
                <w:rFonts w:hint="eastAsia" w:ascii="Times New Roman" w:hAnsi="Times New Roman" w:cs="Times New Roman"/>
              </w:rPr>
              <w:t>。</w:t>
            </w:r>
          </w:p>
          <w:p>
            <w:pPr>
              <w:ind w:firstLine="480" w:firstLineChars="200"/>
              <w:rPr>
                <w:rFonts w:ascii="Times New Roman" w:hAnsi="Times New Roman" w:cs="Times New Roman"/>
              </w:rPr>
            </w:pPr>
            <w:r>
              <w:rPr>
                <w:rFonts w:ascii="Times New Roman" w:hAnsi="Times New Roman" w:cs="Times New Roman"/>
              </w:rPr>
              <w:t>同时本项目引用了《岳阳恒大养生谷项目（一期）环境影响报告表》中的大气环境质量现状监测数据。选取的监测因子有NH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S参照执行《环境影响评价技术导则--大气环境》（HJ2.2-2018）附录D“其他污染物空气质量浓度参考限值”。相关监测数据及评价结果详见表3-2。</w:t>
            </w:r>
          </w:p>
          <w:p>
            <w:pPr>
              <w:pStyle w:val="2"/>
              <w:spacing w:after="0" w:line="360" w:lineRule="auto"/>
              <w:jc w:val="center"/>
              <w:rPr>
                <w:rFonts w:ascii="Times New Roman" w:hAnsi="Times New Roman" w:cs="Times New Roman"/>
                <w:b/>
                <w:bCs/>
              </w:rPr>
            </w:pPr>
            <w:r>
              <w:rPr>
                <w:rFonts w:ascii="Times New Roman" w:hAnsi="Times New Roman" w:cs="Times New Roman"/>
                <w:b/>
                <w:bCs/>
              </w:rPr>
              <w:t>表3-2  环境空气监测结果统计表    单位：mg/m</w:t>
            </w:r>
            <w:r>
              <w:rPr>
                <w:rFonts w:ascii="Times New Roman" w:hAnsi="Times New Roman" w:cs="Times New Roman"/>
                <w:b/>
                <w:bCs/>
                <w:vertAlign w:val="superscript"/>
              </w:rPr>
              <w:t>3</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448"/>
              <w:gridCol w:w="2167"/>
              <w:gridCol w:w="1576"/>
              <w:gridCol w:w="1692"/>
              <w:gridCol w:w="11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0"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监测点位</w:t>
                  </w:r>
                </w:p>
              </w:tc>
              <w:tc>
                <w:tcPr>
                  <w:tcW w:w="783"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污染物</w:t>
                  </w:r>
                </w:p>
              </w:tc>
              <w:tc>
                <w:tcPr>
                  <w:tcW w:w="1172"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浓度范围</w:t>
                  </w:r>
                </w:p>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（mg/m</w:t>
                  </w:r>
                  <w:r>
                    <w:rPr>
                      <w:rFonts w:ascii="Times New Roman" w:hAnsi="Times New Roman" w:cs="Times New Roman"/>
                      <w:b/>
                      <w:bCs/>
                      <w:sz w:val="21"/>
                      <w:szCs w:val="21"/>
                      <w:vertAlign w:val="superscript"/>
                    </w:rPr>
                    <w:t>3</w:t>
                  </w:r>
                  <w:r>
                    <w:rPr>
                      <w:rFonts w:ascii="Times New Roman" w:hAnsi="Times New Roman" w:cs="Times New Roman"/>
                      <w:b/>
                      <w:bCs/>
                      <w:sz w:val="21"/>
                      <w:szCs w:val="21"/>
                    </w:rPr>
                    <w:t>）</w:t>
                  </w:r>
                </w:p>
              </w:tc>
              <w:tc>
                <w:tcPr>
                  <w:tcW w:w="852"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超标率（%）</w:t>
                  </w:r>
                </w:p>
              </w:tc>
              <w:tc>
                <w:tcPr>
                  <w:tcW w:w="915"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标准值</w:t>
                  </w:r>
                </w:p>
                <w:p>
                  <w:pPr>
                    <w:adjustRightInd w:val="0"/>
                    <w:snapToGrid w:val="0"/>
                    <w:spacing w:line="240" w:lineRule="auto"/>
                    <w:ind w:right="-240" w:rightChars="-100"/>
                    <w:jc w:val="center"/>
                    <w:rPr>
                      <w:rFonts w:ascii="Times New Roman" w:hAnsi="Times New Roman" w:cs="Times New Roman"/>
                      <w:b/>
                      <w:bCs/>
                      <w:sz w:val="21"/>
                      <w:szCs w:val="21"/>
                    </w:rPr>
                  </w:pPr>
                  <w:r>
                    <w:rPr>
                      <w:rFonts w:ascii="Times New Roman" w:hAnsi="Times New Roman" w:cs="Times New Roman"/>
                      <w:b/>
                      <w:bCs/>
                      <w:sz w:val="21"/>
                      <w:szCs w:val="21"/>
                    </w:rPr>
                    <w:t>（mg/m</w:t>
                  </w:r>
                  <w:r>
                    <w:rPr>
                      <w:rFonts w:ascii="Times New Roman" w:hAnsi="Times New Roman" w:cs="Times New Roman"/>
                      <w:b/>
                      <w:bCs/>
                      <w:sz w:val="21"/>
                      <w:szCs w:val="21"/>
                      <w:vertAlign w:val="superscript"/>
                    </w:rPr>
                    <w:t>3</w:t>
                  </w:r>
                  <w:r>
                    <w:rPr>
                      <w:rFonts w:ascii="Times New Roman" w:hAnsi="Times New Roman" w:cs="Times New Roman"/>
                      <w:b/>
                      <w:bCs/>
                      <w:sz w:val="21"/>
                      <w:szCs w:val="21"/>
                    </w:rPr>
                    <w:t>）</w:t>
                  </w:r>
                </w:p>
              </w:tc>
              <w:tc>
                <w:tcPr>
                  <w:tcW w:w="615" w:type="pct"/>
                  <w:tcBorders>
                    <w:bottom w:val="single" w:color="auto" w:sz="12" w:space="0"/>
                  </w:tcBorders>
                  <w:vAlign w:val="center"/>
                </w:tcPr>
                <w:p>
                  <w:pPr>
                    <w:adjustRightInd w:val="0"/>
                    <w:snapToGrid w:val="0"/>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0" w:type="pct"/>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项目场地</w:t>
                  </w:r>
                </w:p>
              </w:tc>
              <w:tc>
                <w:tcPr>
                  <w:tcW w:w="783"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NH</w:t>
                  </w:r>
                  <w:r>
                    <w:rPr>
                      <w:rFonts w:ascii="Times New Roman" w:hAnsi="Times New Roman" w:cs="Times New Roman"/>
                      <w:sz w:val="21"/>
                      <w:szCs w:val="21"/>
                      <w:vertAlign w:val="subscript"/>
                    </w:rPr>
                    <w:t>3</w:t>
                  </w:r>
                </w:p>
              </w:tc>
              <w:tc>
                <w:tcPr>
                  <w:tcW w:w="1172"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0.05~0.09</w:t>
                  </w:r>
                </w:p>
              </w:tc>
              <w:tc>
                <w:tcPr>
                  <w:tcW w:w="852"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15"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0.2</w:t>
                  </w:r>
                </w:p>
              </w:tc>
              <w:tc>
                <w:tcPr>
                  <w:tcW w:w="615"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0"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83"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H</w:t>
                  </w:r>
                  <w:r>
                    <w:rPr>
                      <w:rFonts w:ascii="Times New Roman" w:hAnsi="Times New Roman" w:cs="Times New Roman"/>
                      <w:sz w:val="21"/>
                      <w:szCs w:val="21"/>
                      <w:vertAlign w:val="subscript"/>
                    </w:rPr>
                    <w:t>2</w:t>
                  </w:r>
                  <w:r>
                    <w:rPr>
                      <w:rFonts w:ascii="Times New Roman" w:hAnsi="Times New Roman" w:cs="Times New Roman"/>
                      <w:sz w:val="21"/>
                      <w:szCs w:val="21"/>
                    </w:rPr>
                    <w:t>S</w:t>
                  </w:r>
                </w:p>
              </w:tc>
              <w:tc>
                <w:tcPr>
                  <w:tcW w:w="117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0.001~0.003</w:t>
                  </w:r>
                </w:p>
              </w:tc>
              <w:tc>
                <w:tcPr>
                  <w:tcW w:w="85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0.01</w:t>
                  </w:r>
                </w:p>
              </w:tc>
              <w:tc>
                <w:tcPr>
                  <w:tcW w:w="6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0" w:type="pct"/>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东侧150m居民点</w:t>
                  </w:r>
                </w:p>
              </w:tc>
              <w:tc>
                <w:tcPr>
                  <w:tcW w:w="783"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NH</w:t>
                  </w:r>
                  <w:r>
                    <w:rPr>
                      <w:rFonts w:ascii="Times New Roman" w:hAnsi="Times New Roman" w:cs="Times New Roman"/>
                      <w:sz w:val="21"/>
                      <w:szCs w:val="21"/>
                      <w:vertAlign w:val="subscript"/>
                    </w:rPr>
                    <w:t>3</w:t>
                  </w:r>
                </w:p>
              </w:tc>
              <w:tc>
                <w:tcPr>
                  <w:tcW w:w="117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0.10~0.14</w:t>
                  </w:r>
                </w:p>
              </w:tc>
              <w:tc>
                <w:tcPr>
                  <w:tcW w:w="85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0.2</w:t>
                  </w:r>
                </w:p>
              </w:tc>
              <w:tc>
                <w:tcPr>
                  <w:tcW w:w="6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0"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83"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H</w:t>
                  </w:r>
                  <w:r>
                    <w:rPr>
                      <w:rFonts w:ascii="Times New Roman" w:hAnsi="Times New Roman" w:cs="Times New Roman"/>
                      <w:sz w:val="21"/>
                      <w:szCs w:val="21"/>
                      <w:vertAlign w:val="subscript"/>
                    </w:rPr>
                    <w:t>2</w:t>
                  </w:r>
                  <w:r>
                    <w:rPr>
                      <w:rFonts w:ascii="Times New Roman" w:hAnsi="Times New Roman" w:cs="Times New Roman"/>
                      <w:sz w:val="21"/>
                      <w:szCs w:val="21"/>
                    </w:rPr>
                    <w:t>S</w:t>
                  </w:r>
                </w:p>
              </w:tc>
              <w:tc>
                <w:tcPr>
                  <w:tcW w:w="117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0.002~0.005</w:t>
                  </w:r>
                </w:p>
              </w:tc>
              <w:tc>
                <w:tcPr>
                  <w:tcW w:w="85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9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0.01</w:t>
                  </w:r>
                </w:p>
              </w:tc>
              <w:tc>
                <w:tcPr>
                  <w:tcW w:w="615"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达标</w:t>
                  </w:r>
                </w:p>
              </w:tc>
            </w:tr>
          </w:tbl>
          <w:p>
            <w:pPr>
              <w:ind w:firstLine="480" w:firstLineChars="200"/>
              <w:rPr>
                <w:rFonts w:ascii="Times New Roman" w:hAnsi="Times New Roman" w:cs="Times New Roman"/>
              </w:rPr>
            </w:pPr>
            <w:r>
              <w:rPr>
                <w:rFonts w:ascii="Times New Roman" w:hAnsi="Times New Roman" w:cs="Times New Roman"/>
              </w:rPr>
              <w:t>由表3-2可见，两个监测点NH</w:t>
            </w:r>
            <w:r>
              <w:rPr>
                <w:rFonts w:ascii="Times New Roman" w:hAnsi="Times New Roman" w:cs="Times New Roman"/>
                <w:vertAlign w:val="subscript"/>
              </w:rPr>
              <w:t>3</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S现状监测结果满足《环境影响评价技术导则--大气环境》（HJ2.2-2018）附录D“其他污染物空气质量浓度参考限值”要求。</w:t>
            </w:r>
          </w:p>
          <w:p>
            <w:pPr>
              <w:pStyle w:val="5"/>
              <w:ind w:firstLine="562"/>
              <w:outlineLvl w:val="1"/>
              <w:rPr>
                <w:rFonts w:cs="Times New Roman"/>
              </w:rPr>
            </w:pPr>
            <w:bookmarkStart w:id="23" w:name="_Toc34059495"/>
            <w:r>
              <w:rPr>
                <w:rFonts w:cs="Times New Roman"/>
              </w:rPr>
              <w:t>2、地表水环境</w:t>
            </w:r>
            <w:r>
              <w:rPr>
                <w:rFonts w:hint="eastAsia" w:cs="Times New Roman"/>
              </w:rPr>
              <w:t>质量状况</w:t>
            </w:r>
            <w:bookmarkEnd w:id="23"/>
          </w:p>
          <w:p>
            <w:pPr>
              <w:ind w:firstLine="480" w:firstLineChars="200"/>
              <w:rPr>
                <w:rFonts w:ascii="Times New Roman" w:hAnsi="Times New Roman" w:cs="Times New Roman"/>
              </w:rPr>
            </w:pPr>
            <w:r>
              <w:rPr>
                <w:rFonts w:ascii="Times New Roman" w:hAnsi="Times New Roman" w:cs="Times New Roman"/>
              </w:rPr>
              <w:t>项目污水经处理达标后经由北港河排入南湖，根据《湖南省主要水系地表水环境功能区划（DB43/023-2005）》的划分：南湖功能区类型为景观娱乐用水区，执行标准为Ⅳ类，但根据岳阳市人民政府岳政告[2006]7号《关于加强环南湖建设项目排污管理的通知》，现实际按Ⅲ类水保护。</w:t>
            </w:r>
          </w:p>
          <w:p>
            <w:pPr>
              <w:ind w:firstLine="480" w:firstLineChars="200"/>
              <w:rPr>
                <w:rFonts w:ascii="Times New Roman" w:hAnsi="Times New Roman" w:cs="Times New Roman"/>
              </w:rPr>
            </w:pPr>
            <w:r>
              <w:rPr>
                <w:rFonts w:ascii="Times New Roman" w:hAnsi="Times New Roman" w:cs="Times New Roman"/>
              </w:rPr>
              <w:t>（1）本评价引用《岳阳经济技术开发区南港河、北港河流域综合整治工程》中对北港河的水环境现状监测，其监测情况如下：</w:t>
            </w:r>
          </w:p>
          <w:p>
            <w:pPr>
              <w:ind w:firstLine="480" w:firstLineChars="200"/>
              <w:rPr>
                <w:rFonts w:ascii="Times New Roman" w:hAnsi="Times New Roman" w:cs="Times New Roman"/>
              </w:rPr>
            </w:pPr>
            <w:r>
              <w:rPr>
                <w:rFonts w:hint="eastAsia" w:ascii="宋体" w:hAnsi="宋体" w:eastAsia="宋体" w:cs="Times New Roman"/>
              </w:rPr>
              <w:t>①</w:t>
            </w:r>
            <w:r>
              <w:rPr>
                <w:rFonts w:ascii="Times New Roman" w:hAnsi="Times New Roman" w:cs="Times New Roman"/>
              </w:rPr>
              <w:t>监测断面：北港河布设3个水环境现状监测点（W1北港河107国道处、W2北港河107国道处、W3北港河与王家河交汇处东岸）。</w:t>
            </w:r>
          </w:p>
          <w:p>
            <w:pPr>
              <w:ind w:firstLine="480" w:firstLineChars="200"/>
              <w:rPr>
                <w:rFonts w:ascii="Times New Roman" w:hAnsi="Times New Roman" w:cs="Times New Roman"/>
              </w:rPr>
            </w:pPr>
            <w:r>
              <w:rPr>
                <w:rFonts w:hint="eastAsia" w:ascii="宋体" w:hAnsi="宋体" w:eastAsia="宋体" w:cs="Times New Roman"/>
              </w:rPr>
              <w:t>②</w:t>
            </w:r>
            <w:r>
              <w:rPr>
                <w:rFonts w:ascii="Times New Roman" w:hAnsi="Times New Roman" w:cs="Times New Roman"/>
              </w:rPr>
              <w:t>监测因子：pH、透明度，溶解氧、氧化还原电位、氨氮、CODcr、TP。</w:t>
            </w:r>
          </w:p>
          <w:p>
            <w:pPr>
              <w:ind w:firstLine="480" w:firstLineChars="200"/>
              <w:rPr>
                <w:rFonts w:ascii="Times New Roman" w:hAnsi="Times New Roman" w:cs="Times New Roman"/>
              </w:rPr>
            </w:pPr>
            <w:r>
              <w:rPr>
                <w:rFonts w:hint="eastAsia" w:ascii="宋体" w:hAnsi="宋体" w:eastAsia="宋体" w:cs="Times New Roman"/>
              </w:rPr>
              <w:t>③</w:t>
            </w:r>
            <w:r>
              <w:rPr>
                <w:rFonts w:ascii="Times New Roman" w:hAnsi="Times New Roman" w:cs="Times New Roman"/>
              </w:rPr>
              <w:t>采样时间：2018年06月06~08日。</w:t>
            </w:r>
          </w:p>
          <w:p>
            <w:pPr>
              <w:ind w:firstLine="480" w:firstLineChars="200"/>
              <w:rPr>
                <w:rFonts w:ascii="Times New Roman" w:hAnsi="Times New Roman" w:cs="Times New Roman"/>
              </w:rPr>
            </w:pPr>
            <w:r>
              <w:rPr>
                <w:rFonts w:hint="eastAsia" w:ascii="宋体" w:hAnsi="宋体" w:eastAsia="宋体" w:cs="Times New Roman"/>
              </w:rPr>
              <w:t>④</w:t>
            </w:r>
            <w:r>
              <w:rPr>
                <w:rFonts w:ascii="Times New Roman" w:hAnsi="Times New Roman" w:cs="Times New Roman"/>
              </w:rPr>
              <w:t>采样频次：每天一次，隔日采样，连续监测采样三次（水面下0.5m水样或1/2水深）。</w:t>
            </w:r>
          </w:p>
          <w:p>
            <w:pPr>
              <w:ind w:firstLine="480" w:firstLineChars="200"/>
              <w:rPr>
                <w:rFonts w:ascii="Times New Roman" w:hAnsi="Times New Roman" w:cs="Times New Roman"/>
              </w:rPr>
            </w:pPr>
            <w:r>
              <w:rPr>
                <w:rFonts w:hint="eastAsia" w:ascii="宋体" w:hAnsi="宋体" w:eastAsia="宋体" w:cs="Times New Roman"/>
              </w:rPr>
              <w:t>⑤</w:t>
            </w:r>
            <w:r>
              <w:rPr>
                <w:rFonts w:ascii="Times New Roman" w:hAnsi="Times New Roman" w:cs="Times New Roman"/>
              </w:rPr>
              <w:t>评价标准：执行《地表水环境质量标准》（GB3838-2002）中的Ⅲ类标准。</w:t>
            </w:r>
          </w:p>
          <w:p>
            <w:pPr>
              <w:ind w:firstLine="480" w:firstLineChars="200"/>
              <w:rPr>
                <w:rFonts w:ascii="Times New Roman" w:hAnsi="Times New Roman" w:cs="Times New Roman"/>
              </w:rPr>
            </w:pPr>
            <w:r>
              <w:rPr>
                <w:rFonts w:hint="eastAsia" w:ascii="宋体" w:hAnsi="宋体" w:eastAsia="宋体" w:cs="Times New Roman"/>
              </w:rPr>
              <w:t>⑥</w:t>
            </w:r>
            <w:r>
              <w:rPr>
                <w:rFonts w:ascii="Times New Roman" w:hAnsi="Times New Roman" w:cs="Times New Roman"/>
              </w:rPr>
              <w:t>采样和分析方法：采样和分析方法均采用国家推荐的技术规范。</w:t>
            </w:r>
          </w:p>
          <w:p>
            <w:pPr>
              <w:ind w:firstLine="480" w:firstLineChars="200"/>
              <w:rPr>
                <w:rFonts w:ascii="Times New Roman" w:hAnsi="Times New Roman" w:cs="Times New Roman"/>
              </w:rPr>
            </w:pPr>
            <w:r>
              <w:rPr>
                <w:rFonts w:ascii="Times New Roman" w:hAnsi="Times New Roman" w:cs="Times New Roman"/>
              </w:rPr>
              <w:t>具体水质监测结果见表3-3。</w:t>
            </w:r>
          </w:p>
          <w:p>
            <w:pPr>
              <w:spacing w:line="360" w:lineRule="auto"/>
              <w:jc w:val="center"/>
              <w:rPr>
                <w:rFonts w:ascii="Times New Roman" w:hAnsi="Times New Roman" w:cs="Times New Roman"/>
                <w:b/>
                <w:bCs/>
                <w:u w:val="single"/>
              </w:rPr>
            </w:pPr>
            <w:r>
              <w:rPr>
                <w:rFonts w:ascii="Times New Roman" w:hAnsi="Times New Roman" w:cs="Times New Roman"/>
                <w:b/>
                <w:bCs/>
                <w:u w:val="single"/>
              </w:rPr>
              <w:t>表3-3  北港河监测数据统计  单位：mg/L（pH无量纲）</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023"/>
              <w:gridCol w:w="897"/>
              <w:gridCol w:w="1227"/>
              <w:gridCol w:w="1247"/>
              <w:gridCol w:w="1203"/>
              <w:gridCol w:w="844"/>
              <w:gridCol w:w="958"/>
              <w:gridCol w:w="96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restar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采样位置</w:t>
                  </w:r>
                </w:p>
              </w:tc>
              <w:tc>
                <w:tcPr>
                  <w:tcW w:w="553" w:type="pct"/>
                  <w:vMerge w:val="restar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检测项目</w:t>
                  </w:r>
                </w:p>
              </w:tc>
              <w:tc>
                <w:tcPr>
                  <w:tcW w:w="485" w:type="pct"/>
                  <w:vMerge w:val="restar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单位</w:t>
                  </w:r>
                </w:p>
              </w:tc>
              <w:tc>
                <w:tcPr>
                  <w:tcW w:w="1987" w:type="pct"/>
                  <w:gridSpan w:val="3"/>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检测结果</w:t>
                  </w:r>
                </w:p>
              </w:tc>
              <w:tc>
                <w:tcPr>
                  <w:tcW w:w="456" w:type="pct"/>
                  <w:vMerge w:val="restar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超标倍数</w:t>
                  </w:r>
                </w:p>
              </w:tc>
              <w:tc>
                <w:tcPr>
                  <w:tcW w:w="518" w:type="pct"/>
                  <w:vMerge w:val="restar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超标率（%）</w:t>
                  </w:r>
                </w:p>
              </w:tc>
              <w:tc>
                <w:tcPr>
                  <w:tcW w:w="522" w:type="pct"/>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执行标准Ⅲ类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p>
              </w:tc>
              <w:tc>
                <w:tcPr>
                  <w:tcW w:w="553" w:type="pct"/>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p>
              </w:tc>
              <w:tc>
                <w:tcPr>
                  <w:tcW w:w="485" w:type="pct"/>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p>
              </w:tc>
              <w:tc>
                <w:tcPr>
                  <w:tcW w:w="663" w:type="pct"/>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06月06日</w:t>
                  </w:r>
                </w:p>
              </w:tc>
              <w:tc>
                <w:tcPr>
                  <w:tcW w:w="674" w:type="pct"/>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06月07日</w:t>
                  </w:r>
                </w:p>
              </w:tc>
              <w:tc>
                <w:tcPr>
                  <w:tcW w:w="649" w:type="pct"/>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06月08日</w:t>
                  </w:r>
                </w:p>
              </w:tc>
              <w:tc>
                <w:tcPr>
                  <w:tcW w:w="456" w:type="pct"/>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p>
              </w:tc>
              <w:tc>
                <w:tcPr>
                  <w:tcW w:w="518" w:type="pct"/>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u w:val="single"/>
                    </w:rPr>
                  </w:pPr>
                </w:p>
              </w:tc>
              <w:tc>
                <w:tcPr>
                  <w:tcW w:w="523" w:type="pct"/>
                  <w:tcBorders>
                    <w:tl2br w:val="nil"/>
                    <w:tr2bl w:val="nil"/>
                  </w:tcBorders>
                  <w:vAlign w:val="center"/>
                </w:tcPr>
                <w:p>
                  <w:pPr>
                    <w:spacing w:line="240" w:lineRule="auto"/>
                    <w:jc w:val="center"/>
                    <w:rPr>
                      <w:rFonts w:ascii="Times New Roman" w:hAnsi="Times New Roman" w:cs="Times New Roman"/>
                      <w:b/>
                      <w:bCs/>
                      <w:sz w:val="21"/>
                      <w:szCs w:val="21"/>
                      <w:u w:val="singl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restart"/>
                  <w:tcBorders>
                    <w:top w:val="single" w:color="auto" w:sz="12" w:space="0"/>
                  </w:tcBorders>
                  <w:vAlign w:val="center"/>
                </w:tcPr>
                <w:p>
                  <w:pPr>
                    <w:pStyle w:val="2"/>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W1：</w:t>
                  </w:r>
                </w:p>
                <w:p>
                  <w:pPr>
                    <w:pStyle w:val="2"/>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北港河107国道处</w:t>
                  </w:r>
                </w:p>
              </w:tc>
              <w:tc>
                <w:tcPr>
                  <w:tcW w:w="553"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pH</w:t>
                  </w:r>
                </w:p>
              </w:tc>
              <w:tc>
                <w:tcPr>
                  <w:tcW w:w="485"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无量纲</w:t>
                  </w:r>
                </w:p>
              </w:tc>
              <w:tc>
                <w:tcPr>
                  <w:tcW w:w="663" w:type="pct"/>
                  <w:tcBorders>
                    <w:top w:val="single" w:color="auto" w:sz="12" w:space="0"/>
                  </w:tcBorders>
                  <w:vAlign w:val="center"/>
                </w:tcPr>
                <w:p>
                  <w:pPr>
                    <w:pStyle w:val="2"/>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7.20</w:t>
                  </w:r>
                </w:p>
              </w:tc>
              <w:tc>
                <w:tcPr>
                  <w:tcW w:w="674"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7.16</w:t>
                  </w:r>
                </w:p>
              </w:tc>
              <w:tc>
                <w:tcPr>
                  <w:tcW w:w="649"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7.22</w:t>
                  </w:r>
                </w:p>
              </w:tc>
              <w:tc>
                <w:tcPr>
                  <w:tcW w:w="456"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1.03</w:t>
                  </w:r>
                </w:p>
              </w:tc>
              <w:tc>
                <w:tcPr>
                  <w:tcW w:w="518"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op w:val="single" w:color="auto" w:sz="12" w:space="0"/>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vAlign w:val="center"/>
                </w:tcPr>
                <w:p>
                  <w:pPr>
                    <w:spacing w:line="240" w:lineRule="auto"/>
                    <w:jc w:val="center"/>
                    <w:rPr>
                      <w:rFonts w:ascii="Times New Roman" w:hAnsi="Times New Roman" w:cs="Times New Roman"/>
                      <w:sz w:val="21"/>
                      <w:szCs w:val="21"/>
                      <w:u w:val="single"/>
                    </w:rPr>
                  </w:pPr>
                </w:p>
              </w:tc>
              <w:tc>
                <w:tcPr>
                  <w:tcW w:w="553"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透明度</w:t>
                  </w:r>
                </w:p>
              </w:tc>
              <w:tc>
                <w:tcPr>
                  <w:tcW w:w="485"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cm</w:t>
                  </w:r>
                </w:p>
              </w:tc>
              <w:tc>
                <w:tcPr>
                  <w:tcW w:w="663"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0.90</w:t>
                  </w:r>
                </w:p>
              </w:tc>
              <w:tc>
                <w:tcPr>
                  <w:tcW w:w="674"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0.90</w:t>
                  </w:r>
                </w:p>
              </w:tc>
              <w:tc>
                <w:tcPr>
                  <w:tcW w:w="649"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0.90</w:t>
                  </w:r>
                </w:p>
              </w:tc>
              <w:tc>
                <w:tcPr>
                  <w:tcW w:w="456"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氨氮</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3.786</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3.654</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3.702</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3.78</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pStyle w:val="2"/>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化学需氧量</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28</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25</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27</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1.40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pStyle w:val="2"/>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总磷</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0.07</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0.05</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0.05</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1.20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溶解氧</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5.8</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5.6</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5.8</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氧化还原电位</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mV</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114</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110</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112</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restar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W2：北港河107过道处</w:t>
                  </w: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pH</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无量纲</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7.52</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7.42</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7.48</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1.07</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透明度</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cm</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1.10</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1.10</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1.10</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氨氮</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3.700</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3.256</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3.518</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化学需氧量</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21</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18</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1.05</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66.67</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总磷</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0.03</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0.02</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0.02</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w:t>
                  </w: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溶解氧</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6.0</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5.8</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5.6</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氧化还原电位</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mV</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120</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118</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120</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restar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W3：北港河与王家河交汇处东岸</w:t>
                  </w: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pH</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无量纲</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7.12</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7.08</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7.10</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1.02</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透明度</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cm</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0.95</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0.95</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0.95</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氨氮</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3.871</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3.824</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3.751</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3.87</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化学需氧量</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23</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21</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1.15</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100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总磷</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0.04</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0.03</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0.03</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溶解氧</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mg/L</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6.1</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5.8</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6.0</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0</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55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氧化还原电位</w:t>
                  </w:r>
                </w:p>
              </w:tc>
              <w:tc>
                <w:tcPr>
                  <w:tcW w:w="485"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mV</w:t>
                  </w:r>
                </w:p>
              </w:tc>
              <w:tc>
                <w:tcPr>
                  <w:tcW w:w="66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118</w:t>
                  </w:r>
                </w:p>
              </w:tc>
              <w:tc>
                <w:tcPr>
                  <w:tcW w:w="674"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115</w:t>
                  </w:r>
                </w:p>
              </w:tc>
              <w:tc>
                <w:tcPr>
                  <w:tcW w:w="649"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119</w:t>
                  </w:r>
                </w:p>
              </w:tc>
              <w:tc>
                <w:tcPr>
                  <w:tcW w:w="45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523"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w:t>
                  </w:r>
                </w:p>
              </w:tc>
            </w:tr>
          </w:tbl>
          <w:p>
            <w:pPr>
              <w:widowControl/>
              <w:spacing w:line="360" w:lineRule="auto"/>
              <w:ind w:firstLine="480"/>
              <w:textAlignment w:val="baseline"/>
              <w:rPr>
                <w:rFonts w:ascii="Times New Roman" w:hAnsi="Times New Roman" w:cs="Times New Roman"/>
                <w:u w:val="single"/>
              </w:rPr>
            </w:pPr>
            <w:r>
              <w:rPr>
                <w:rFonts w:ascii="Times New Roman" w:hAnsi="Times New Roman" w:cs="Times New Roman"/>
                <w:u w:val="single"/>
              </w:rPr>
              <w:t>通过以上监测数据可知，北港河PH、氨氮、化学需氧量均超标，可能是因为所在区域污水管网未与污水处理厂接通，工业废水与生活污水随意排入北港河导致水质超标。项目地表水其余各项指标均达到《地表水环境质量标准》（GB3838-2002）中标准（其中北港执行Ⅲ类标准），水环境质量一般。</w:t>
            </w:r>
          </w:p>
          <w:p>
            <w:pPr>
              <w:ind w:firstLine="48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2</w:t>
            </w:r>
            <w:r>
              <w:rPr>
                <w:rFonts w:ascii="Times New Roman" w:hAnsi="Times New Roman" w:cs="Times New Roman"/>
              </w:rPr>
              <w:t>）本次环评收集了2018年岳阳市环境保护监测中心对南湖常规监测断面的历史监测数据，说明现状南湖地表水环境质量现状情况。</w:t>
            </w:r>
          </w:p>
          <w:p>
            <w:pPr>
              <w:ind w:firstLine="48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1 \* GB3 \* MERGEFORMAT </w:instrText>
            </w:r>
            <w:r>
              <w:rPr>
                <w:rFonts w:ascii="Times New Roman" w:hAnsi="Times New Roman" w:cs="Times New Roman"/>
              </w:rPr>
              <w:fldChar w:fldCharType="separate"/>
            </w:r>
            <w:r>
              <w:rPr>
                <w:rFonts w:ascii="Times New Roman" w:hAnsi="Times New Roman" w:cs="Times New Roman"/>
              </w:rPr>
              <w:t>①</w:t>
            </w:r>
            <w:r>
              <w:rPr>
                <w:rFonts w:ascii="Times New Roman" w:hAnsi="Times New Roman" w:cs="Times New Roman"/>
              </w:rPr>
              <w:fldChar w:fldCharType="end"/>
            </w:r>
            <w:r>
              <w:rPr>
                <w:rFonts w:ascii="Times New Roman" w:hAnsi="Times New Roman" w:cs="Times New Roman"/>
              </w:rPr>
              <w:t>监测因子：pH、溶解氧、总氮、氨氮、高锰酸盐指数、总磷、叶绿素a、透明度、水温等。</w:t>
            </w:r>
          </w:p>
          <w:p>
            <w:pPr>
              <w:ind w:firstLine="48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2 \* GB3 \* MERGEFORMAT </w:instrText>
            </w:r>
            <w:r>
              <w:rPr>
                <w:rFonts w:ascii="Times New Roman" w:hAnsi="Times New Roman" w:cs="Times New Roman"/>
              </w:rPr>
              <w:fldChar w:fldCharType="separate"/>
            </w:r>
            <w:r>
              <w:rPr>
                <w:rFonts w:ascii="Times New Roman" w:hAnsi="Times New Roman" w:cs="Times New Roman"/>
              </w:rPr>
              <w:t>②</w:t>
            </w:r>
            <w:r>
              <w:rPr>
                <w:rFonts w:ascii="Times New Roman" w:hAnsi="Times New Roman" w:cs="Times New Roman"/>
              </w:rPr>
              <w:fldChar w:fldCharType="end"/>
            </w:r>
            <w:r>
              <w:rPr>
                <w:rFonts w:ascii="Times New Roman" w:hAnsi="Times New Roman" w:cs="Times New Roman"/>
              </w:rPr>
              <w:t>监测时间：2018年5月24日、6月5日、7月4日。</w:t>
            </w:r>
          </w:p>
          <w:p>
            <w:pPr>
              <w:ind w:firstLine="48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3 \* GB3 \* MERGEFORMAT </w:instrText>
            </w:r>
            <w:r>
              <w:rPr>
                <w:rFonts w:ascii="Times New Roman" w:hAnsi="Times New Roman" w:cs="Times New Roman"/>
              </w:rPr>
              <w:fldChar w:fldCharType="separate"/>
            </w:r>
            <w:r>
              <w:rPr>
                <w:rFonts w:ascii="Times New Roman" w:hAnsi="Times New Roman" w:cs="Times New Roman"/>
              </w:rPr>
              <w:t>③</w:t>
            </w:r>
            <w:r>
              <w:rPr>
                <w:rFonts w:ascii="Times New Roman" w:hAnsi="Times New Roman" w:cs="Times New Roman"/>
              </w:rPr>
              <w:fldChar w:fldCharType="end"/>
            </w:r>
            <w:r>
              <w:rPr>
                <w:rFonts w:ascii="Times New Roman" w:hAnsi="Times New Roman" w:cs="Times New Roman"/>
              </w:rPr>
              <w:t>监测结果见表3-4。</w:t>
            </w:r>
          </w:p>
          <w:p>
            <w:pPr>
              <w:spacing w:line="360" w:lineRule="auto"/>
              <w:jc w:val="center"/>
              <w:rPr>
                <w:rFonts w:ascii="Times New Roman" w:hAnsi="Times New Roman" w:cs="Times New Roman"/>
                <w:b/>
                <w:bCs/>
              </w:rPr>
            </w:pPr>
            <w:r>
              <w:rPr>
                <w:rFonts w:ascii="Times New Roman" w:hAnsi="Times New Roman" w:cs="Times New Roman"/>
                <w:b/>
                <w:bCs/>
              </w:rPr>
              <w:t>表3-4  南湖地表水环境质量监测结果</w:t>
            </w:r>
          </w:p>
          <w:tbl>
            <w:tblPr>
              <w:tblStyle w:val="23"/>
              <w:tblW w:w="90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1305"/>
              <w:gridCol w:w="7"/>
              <w:gridCol w:w="1314"/>
              <w:gridCol w:w="1699"/>
              <w:gridCol w:w="1585"/>
              <w:gridCol w:w="17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采样时间</w:t>
                  </w:r>
                </w:p>
              </w:tc>
              <w:tc>
                <w:tcPr>
                  <w:tcW w:w="130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监测项目</w:t>
                  </w:r>
                </w:p>
              </w:tc>
              <w:tc>
                <w:tcPr>
                  <w:tcW w:w="1321" w:type="dxa"/>
                  <w:gridSpan w:val="2"/>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计量单位</w:t>
                  </w:r>
                </w:p>
              </w:tc>
              <w:tc>
                <w:tcPr>
                  <w:tcW w:w="1699"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监测结果</w:t>
                  </w:r>
                </w:p>
              </w:tc>
              <w:tc>
                <w:tcPr>
                  <w:tcW w:w="158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超标率</w:t>
                  </w:r>
                </w:p>
              </w:tc>
              <w:tc>
                <w:tcPr>
                  <w:tcW w:w="1783"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2018/5/24</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2018/6/5</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2018/7/24</w:t>
                  </w:r>
                </w:p>
              </w:tc>
              <w:tc>
                <w:tcPr>
                  <w:tcW w:w="130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pH值</w:t>
                  </w:r>
                </w:p>
              </w:tc>
              <w:tc>
                <w:tcPr>
                  <w:tcW w:w="1321" w:type="dxa"/>
                  <w:gridSpan w:val="2"/>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无量纲</w:t>
                  </w:r>
                </w:p>
              </w:tc>
              <w:tc>
                <w:tcPr>
                  <w:tcW w:w="1699"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7.40~7.62</w:t>
                  </w:r>
                </w:p>
              </w:tc>
              <w:tc>
                <w:tcPr>
                  <w:tcW w:w="158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1783"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总氮</w:t>
                  </w:r>
                </w:p>
              </w:tc>
              <w:tc>
                <w:tcPr>
                  <w:tcW w:w="132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mg/L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1.41~3.16</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100%</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132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mg/L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0.065~0.118</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05" w:type="dxa"/>
                  <w:tcBorders>
                    <w:tl2br w:val="nil"/>
                    <w:tr2bl w:val="nil"/>
                  </w:tcBorders>
                  <w:tcMar>
                    <w:top w:w="0" w:type="dxa"/>
                    <w:left w:w="0" w:type="dxa"/>
                    <w:bottom w:w="0" w:type="dxa"/>
                    <w:right w:w="0"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总磷</w:t>
                  </w:r>
                </w:p>
              </w:tc>
              <w:tc>
                <w:tcPr>
                  <w:tcW w:w="132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mg/L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0.10~0.12</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100%</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05" w:type="dxa"/>
                  <w:tcBorders>
                    <w:tl2br w:val="nil"/>
                    <w:tr2bl w:val="nil"/>
                  </w:tcBorders>
                  <w:tcMar>
                    <w:top w:w="0" w:type="dxa"/>
                    <w:left w:w="0" w:type="dxa"/>
                    <w:bottom w:w="0" w:type="dxa"/>
                    <w:right w:w="0"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132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mg/L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10-18</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05" w:type="dxa"/>
                  <w:tcBorders>
                    <w:tl2br w:val="nil"/>
                    <w:tr2bl w:val="nil"/>
                  </w:tcBorders>
                  <w:tcMar>
                    <w:top w:w="0" w:type="dxa"/>
                    <w:left w:w="0" w:type="dxa"/>
                    <w:bottom w:w="0" w:type="dxa"/>
                    <w:right w:w="0"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132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mg/L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3.2-3.8</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69"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12" w:type="dxa"/>
                  <w:gridSpan w:val="2"/>
                  <w:tcBorders>
                    <w:tl2br w:val="nil"/>
                    <w:tr2bl w:val="nil"/>
                  </w:tcBorders>
                  <w:tcMar>
                    <w:top w:w="0" w:type="dxa"/>
                    <w:left w:w="0" w:type="dxa"/>
                    <w:bottom w:w="0" w:type="dxa"/>
                    <w:right w:w="0"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粪大肠菌群</w:t>
                  </w:r>
                </w:p>
              </w:tc>
              <w:tc>
                <w:tcPr>
                  <w:tcW w:w="1314" w:type="dxa"/>
                  <w:tcBorders>
                    <w:tl2br w:val="nil"/>
                    <w:tr2bl w:val="nil"/>
                  </w:tcBorders>
                  <w:tcMar>
                    <w:top w:w="0" w:type="dxa"/>
                    <w:left w:w="0" w:type="dxa"/>
                    <w:bottom w:w="0" w:type="dxa"/>
                    <w:right w:w="0"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个/L</w:t>
                  </w:r>
                </w:p>
              </w:tc>
              <w:tc>
                <w:tcPr>
                  <w:tcW w:w="169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1600-2800</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w:t>
                  </w:r>
                </w:p>
              </w:tc>
              <w:tc>
                <w:tcPr>
                  <w:tcW w:w="178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≤10000</w:t>
                  </w:r>
                </w:p>
              </w:tc>
            </w:tr>
          </w:tbl>
          <w:p>
            <w:pPr>
              <w:ind w:firstLine="480" w:firstLineChars="200"/>
              <w:rPr>
                <w:rFonts w:ascii="Times New Roman" w:hAnsi="Times New Roman" w:cs="Times New Roman"/>
              </w:rPr>
            </w:pPr>
            <w:r>
              <w:rPr>
                <w:rFonts w:ascii="Times New Roman" w:hAnsi="Times New Roman" w:cs="Times New Roman"/>
              </w:rPr>
              <w:t>监测结果表明，南湖监测断面地表水环境总磷、总氮超标，其余因子能够达到《地表水环境质量标准》（GB3838-2002）中Ⅲ类标准要求。超标的原因为项目所在地生活污水污染。</w:t>
            </w:r>
          </w:p>
          <w:p>
            <w:pPr>
              <w:ind w:firstLine="480" w:firstLineChars="200"/>
              <w:rPr>
                <w:rFonts w:ascii="Times New Roman" w:hAnsi="Times New Roman" w:cs="Times New Roman"/>
              </w:rPr>
            </w:pPr>
            <w:r>
              <w:rPr>
                <w:rFonts w:hint="eastAsia" w:ascii="Times New Roman" w:hAnsi="Times New Roman" w:cs="Times New Roman"/>
              </w:rPr>
              <w:t>为了解南湖水质变化趋势，本评价统计了岳阳市近三年的环境公报中南湖的水质情况，其统计情况如下：</w:t>
            </w:r>
          </w:p>
          <w:p>
            <w:pPr>
              <w:spacing w:line="360" w:lineRule="auto"/>
              <w:ind w:firstLine="451" w:firstLineChars="187"/>
              <w:jc w:val="center"/>
              <w:rPr>
                <w:rFonts w:ascii="Times New Roman" w:hAnsi="Times New Roman" w:eastAsia="宋体"/>
                <w:b/>
                <w:bCs/>
              </w:rPr>
            </w:pPr>
            <w:r>
              <w:rPr>
                <w:rFonts w:hint="eastAsia" w:ascii="Times New Roman" w:hAnsi="Times New Roman" w:eastAsia="宋体"/>
                <w:b/>
                <w:bCs/>
              </w:rPr>
              <w:t>表3-</w:t>
            </w:r>
            <w:r>
              <w:rPr>
                <w:rFonts w:ascii="Times New Roman" w:hAnsi="Times New Roman" w:eastAsia="宋体"/>
                <w:b/>
                <w:bCs/>
              </w:rPr>
              <w:t>5</w:t>
            </w:r>
            <w:r>
              <w:rPr>
                <w:rFonts w:hint="eastAsia" w:ascii="Times New Roman" w:hAnsi="Times New Roman" w:eastAsia="宋体"/>
                <w:b/>
                <w:bCs/>
              </w:rPr>
              <w:t xml:space="preserve"> </w:t>
            </w:r>
            <w:r>
              <w:rPr>
                <w:rFonts w:hint="eastAsia" w:ascii="Times New Roman" w:hAnsi="Times New Roman" w:eastAsia="宋体"/>
                <w:b/>
                <w:bCs/>
                <w:lang w:val="en-US" w:eastAsia="zh-CN"/>
              </w:rPr>
              <w:t xml:space="preserve"> </w:t>
            </w:r>
            <w:r>
              <w:rPr>
                <w:rFonts w:hint="eastAsia" w:ascii="Times New Roman" w:hAnsi="Times New Roman" w:eastAsia="宋体"/>
                <w:b/>
                <w:bCs/>
              </w:rPr>
              <w:t>洞庭湖、南湖近三年水质统计情况</w:t>
            </w:r>
          </w:p>
          <w:tbl>
            <w:tblPr>
              <w:tblStyle w:val="24"/>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411"/>
              <w:gridCol w:w="2513"/>
              <w:gridCol w:w="289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1" w:type="dxa"/>
                  <w:vMerge w:val="restart"/>
                  <w:vAlign w:val="center"/>
                </w:tcPr>
                <w:p>
                  <w:pPr>
                    <w:spacing w:line="240" w:lineRule="auto"/>
                    <w:rPr>
                      <w:rFonts w:ascii="Times New Roman" w:hAnsi="Times New Roman" w:eastAsia="宋体"/>
                      <w:sz w:val="21"/>
                      <w:szCs w:val="21"/>
                    </w:rPr>
                  </w:pPr>
                  <w:r>
                    <w:rPr>
                      <w:rFonts w:hint="eastAsia" w:ascii="Times New Roman" w:hAnsi="Times New Roman" w:eastAsia="宋体"/>
                      <w:sz w:val="21"/>
                      <w:szCs w:val="21"/>
                    </w:rPr>
                    <w:t>南湖水质</w:t>
                  </w:r>
                </w:p>
              </w:tc>
              <w:tc>
                <w:tcPr>
                  <w:tcW w:w="2411"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201</w:t>
                  </w:r>
                  <w:r>
                    <w:rPr>
                      <w:rFonts w:ascii="Times New Roman" w:hAnsi="Times New Roman" w:eastAsia="宋体"/>
                      <w:sz w:val="21"/>
                      <w:szCs w:val="21"/>
                    </w:rPr>
                    <w:t>8</w:t>
                  </w:r>
                  <w:r>
                    <w:rPr>
                      <w:rFonts w:hint="eastAsia" w:ascii="Times New Roman" w:hAnsi="Times New Roman" w:eastAsia="宋体"/>
                      <w:sz w:val="21"/>
                      <w:szCs w:val="21"/>
                    </w:rPr>
                    <w:t>年度</w:t>
                  </w:r>
                </w:p>
              </w:tc>
              <w:tc>
                <w:tcPr>
                  <w:tcW w:w="2513"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201</w:t>
                  </w:r>
                  <w:r>
                    <w:rPr>
                      <w:rFonts w:ascii="Times New Roman" w:hAnsi="Times New Roman" w:eastAsia="宋体"/>
                      <w:sz w:val="21"/>
                      <w:szCs w:val="21"/>
                    </w:rPr>
                    <w:t>7</w:t>
                  </w:r>
                  <w:r>
                    <w:rPr>
                      <w:rFonts w:hint="eastAsia" w:ascii="Times New Roman" w:hAnsi="Times New Roman" w:eastAsia="宋体"/>
                      <w:sz w:val="21"/>
                      <w:szCs w:val="21"/>
                    </w:rPr>
                    <w:t>年度</w:t>
                  </w:r>
                </w:p>
              </w:tc>
              <w:tc>
                <w:tcPr>
                  <w:tcW w:w="2896"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201</w:t>
                  </w:r>
                  <w:r>
                    <w:rPr>
                      <w:rFonts w:ascii="Times New Roman" w:hAnsi="Times New Roman" w:eastAsia="宋体"/>
                      <w:sz w:val="21"/>
                      <w:szCs w:val="21"/>
                    </w:rPr>
                    <w:t>6</w:t>
                  </w:r>
                  <w:r>
                    <w:rPr>
                      <w:rFonts w:hint="eastAsia" w:ascii="Times New Roman" w:hAnsi="Times New Roman" w:eastAsia="宋体"/>
                      <w:sz w:val="21"/>
                      <w:szCs w:val="21"/>
                    </w:rPr>
                    <w:t>年度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1" w:type="dxa"/>
                  <w:vMerge w:val="continue"/>
                  <w:vAlign w:val="center"/>
                </w:tcPr>
                <w:p>
                  <w:pPr>
                    <w:spacing w:line="240" w:lineRule="auto"/>
                    <w:rPr>
                      <w:rFonts w:ascii="Times New Roman" w:hAnsi="Times New Roman" w:eastAsia="宋体"/>
                      <w:sz w:val="21"/>
                      <w:szCs w:val="21"/>
                    </w:rPr>
                  </w:pPr>
                </w:p>
              </w:tc>
              <w:tc>
                <w:tcPr>
                  <w:tcW w:w="2411"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Ⅳ类</w:t>
                  </w:r>
                </w:p>
              </w:tc>
              <w:tc>
                <w:tcPr>
                  <w:tcW w:w="2513"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Ⅳ类</w:t>
                  </w:r>
                </w:p>
              </w:tc>
              <w:tc>
                <w:tcPr>
                  <w:tcW w:w="2896"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Ⅳ类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1" w:type="dxa"/>
                  <w:vMerge w:val="continue"/>
                  <w:vAlign w:val="center"/>
                </w:tcPr>
                <w:p>
                  <w:pPr>
                    <w:spacing w:line="240" w:lineRule="auto"/>
                    <w:rPr>
                      <w:rFonts w:ascii="Times New Roman" w:hAnsi="Times New Roman" w:eastAsia="宋体"/>
                      <w:sz w:val="21"/>
                      <w:szCs w:val="21"/>
                    </w:rPr>
                  </w:pPr>
                </w:p>
              </w:tc>
              <w:tc>
                <w:tcPr>
                  <w:tcW w:w="2411"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营养状态评价均为轻度富营养</w:t>
                  </w:r>
                </w:p>
              </w:tc>
              <w:tc>
                <w:tcPr>
                  <w:tcW w:w="2513"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营养状态评价均为轻度富营养</w:t>
                  </w:r>
                </w:p>
              </w:tc>
              <w:tc>
                <w:tcPr>
                  <w:tcW w:w="2896" w:type="dxa"/>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污染程度为轻度污染；营养状态评价均为轻度富营养</w:t>
                  </w:r>
                </w:p>
              </w:tc>
            </w:tr>
          </w:tbl>
          <w:p>
            <w:pPr>
              <w:ind w:firstLine="480" w:firstLineChars="200"/>
              <w:rPr>
                <w:rFonts w:ascii="Times New Roman" w:hAnsi="Times New Roman" w:cs="Times New Roman"/>
              </w:rPr>
            </w:pPr>
            <w:r>
              <w:rPr>
                <w:rFonts w:hint="eastAsia" w:ascii="Times New Roman" w:hAnsi="Times New Roman" w:cs="Times New Roman"/>
              </w:rPr>
              <w:t>由表3</w:t>
            </w:r>
            <w:r>
              <w:rPr>
                <w:rFonts w:ascii="Times New Roman" w:hAnsi="Times New Roman" w:cs="Times New Roman"/>
              </w:rPr>
              <w:t>-5</w:t>
            </w:r>
            <w:r>
              <w:rPr>
                <w:rFonts w:hint="eastAsia" w:ascii="Times New Roman" w:hAnsi="Times New Roman" w:cs="Times New Roman"/>
              </w:rPr>
              <w:t>可知，南湖水质比较稳定。相对2016年，洞庭湖2017年、2018年水质得到改善</w:t>
            </w:r>
          </w:p>
          <w:p>
            <w:pPr>
              <w:pStyle w:val="5"/>
              <w:ind w:firstLine="562"/>
              <w:outlineLvl w:val="1"/>
            </w:pPr>
            <w:bookmarkStart w:id="24" w:name="_Toc34059496"/>
            <w:r>
              <w:t>3、声环境</w:t>
            </w:r>
            <w:bookmarkEnd w:id="24"/>
          </w:p>
          <w:p>
            <w:pPr>
              <w:ind w:firstLine="480" w:firstLineChars="200"/>
            </w:pPr>
            <w:r>
              <w:rPr>
                <w:rFonts w:ascii="Times New Roman" w:hAnsi="Times New Roman" w:cs="Times New Roman"/>
              </w:rPr>
              <w:t>（1）</w:t>
            </w:r>
            <w:r>
              <w:t>监测布点</w:t>
            </w:r>
          </w:p>
          <w:p>
            <w:pPr>
              <w:ind w:firstLine="480" w:firstLineChars="200"/>
              <w:rPr>
                <w:rFonts w:ascii="Times New Roman" w:hAnsi="Times New Roman" w:cs="Times New Roman"/>
              </w:rPr>
            </w:pPr>
            <w:r>
              <w:rPr>
                <w:rFonts w:ascii="Times New Roman" w:hAnsi="Times New Roman" w:cs="Times New Roman"/>
              </w:rPr>
              <w:t>为了解该区域内的声环境质量现状，该项目委托湖南乾诚检测有限公司在本项目厂址四周进行了噪声监测，根据本项目所在地目前环境特征，在项目所在地布置声环境质量监测点4个，N1</w:t>
            </w:r>
            <w:r>
              <w:rPr>
                <w:rFonts w:hint="eastAsia" w:ascii="Times New Roman" w:hAnsi="Times New Roman" w:cs="Times New Roman"/>
              </w:rPr>
              <w:t>东</w:t>
            </w:r>
            <w:r>
              <w:rPr>
                <w:rFonts w:ascii="Times New Roman" w:hAnsi="Times New Roman" w:cs="Times New Roman"/>
              </w:rPr>
              <w:t>面厂界外1m处，N2</w:t>
            </w:r>
            <w:r>
              <w:rPr>
                <w:rFonts w:hint="eastAsia" w:ascii="Times New Roman" w:hAnsi="Times New Roman" w:cs="Times New Roman"/>
              </w:rPr>
              <w:t>南</w:t>
            </w:r>
            <w:r>
              <w:rPr>
                <w:rFonts w:ascii="Times New Roman" w:hAnsi="Times New Roman" w:cs="Times New Roman"/>
              </w:rPr>
              <w:t>面厂界外1m处，N3</w:t>
            </w:r>
            <w:r>
              <w:rPr>
                <w:rFonts w:hint="eastAsia" w:ascii="Times New Roman" w:hAnsi="Times New Roman" w:cs="Times New Roman"/>
              </w:rPr>
              <w:t>西</w:t>
            </w:r>
            <w:r>
              <w:rPr>
                <w:rFonts w:ascii="Times New Roman" w:hAnsi="Times New Roman" w:cs="Times New Roman"/>
              </w:rPr>
              <w:t>面厂界外1m处，N4</w:t>
            </w:r>
            <w:r>
              <w:rPr>
                <w:rFonts w:hint="eastAsia" w:ascii="Times New Roman" w:hAnsi="Times New Roman" w:cs="Times New Roman"/>
              </w:rPr>
              <w:t>北</w:t>
            </w:r>
            <w:r>
              <w:rPr>
                <w:rFonts w:ascii="Times New Roman" w:hAnsi="Times New Roman" w:cs="Times New Roman"/>
              </w:rPr>
              <w:t>面厂界外1m处。</w:t>
            </w:r>
          </w:p>
          <w:p>
            <w:pPr>
              <w:ind w:firstLine="480" w:firstLineChars="200"/>
            </w:pPr>
            <w:r>
              <w:t>（2）监测时间及频次</w:t>
            </w:r>
          </w:p>
          <w:p>
            <w:pPr>
              <w:ind w:firstLine="480" w:firstLineChars="200"/>
            </w:pPr>
            <w:r>
              <w:t>20</w:t>
            </w:r>
            <w:r>
              <w:rPr>
                <w:rFonts w:hint="eastAsia"/>
              </w:rPr>
              <w:t>20</w:t>
            </w:r>
            <w:r>
              <w:t>年</w:t>
            </w:r>
            <w:r>
              <w:rPr>
                <w:rFonts w:hint="eastAsia"/>
              </w:rPr>
              <w:t>1</w:t>
            </w:r>
            <w:r>
              <w:t>月</w:t>
            </w:r>
            <w:r>
              <w:rPr>
                <w:rFonts w:hint="eastAsia"/>
              </w:rPr>
              <w:t>6</w:t>
            </w:r>
            <w:r>
              <w:t>日~</w:t>
            </w:r>
            <w:r>
              <w:rPr>
                <w:rFonts w:hint="eastAsia"/>
              </w:rPr>
              <w:t>7</w:t>
            </w:r>
            <w:r>
              <w:t>日，连续两天，昼间、夜间各一次。</w:t>
            </w:r>
          </w:p>
          <w:p>
            <w:pPr>
              <w:ind w:firstLine="480" w:firstLineChars="200"/>
              <w:rPr>
                <w:rFonts w:ascii="Times New Roman" w:hAnsi="Times New Roman" w:cs="Times New Roman"/>
              </w:rPr>
            </w:pPr>
            <w:r>
              <w:rPr>
                <w:rFonts w:ascii="Times New Roman" w:hAnsi="Times New Roman" w:cs="Times New Roman"/>
              </w:rPr>
              <w:t>（3）执行标准</w:t>
            </w:r>
          </w:p>
          <w:p>
            <w:pPr>
              <w:ind w:firstLine="480" w:firstLineChars="200"/>
              <w:rPr>
                <w:rFonts w:ascii="Times New Roman" w:hAnsi="Times New Roman" w:cs="Times New Roman"/>
              </w:rPr>
            </w:pPr>
            <w:r>
              <w:rPr>
                <w:rFonts w:ascii="Times New Roman" w:hAnsi="Times New Roman" w:cs="Times New Roman"/>
              </w:rPr>
              <w:t>《声环境质量标准》（GB 3096-2008）中2类标准。</w:t>
            </w:r>
          </w:p>
          <w:p>
            <w:pPr>
              <w:ind w:firstLine="480" w:firstLineChars="200"/>
              <w:rPr>
                <w:rFonts w:ascii="Times New Roman" w:hAnsi="Times New Roman" w:cs="Times New Roman"/>
              </w:rPr>
            </w:pPr>
            <w:r>
              <w:rPr>
                <w:rFonts w:ascii="Times New Roman" w:hAnsi="Times New Roman" w:cs="Times New Roman"/>
              </w:rPr>
              <w:t>（4）监测结果：各监测点的监测结果统计见表3-</w:t>
            </w:r>
            <w:r>
              <w:rPr>
                <w:rFonts w:hint="eastAsia" w:ascii="Times New Roman" w:hAnsi="Times New Roman" w:cs="Times New Roman"/>
                <w:lang w:val="en-US" w:eastAsia="zh-CN"/>
              </w:rPr>
              <w:t>6</w:t>
            </w:r>
            <w:r>
              <w:rPr>
                <w:rFonts w:ascii="Times New Roman" w:hAnsi="Times New Roman" w:cs="Times New Roman"/>
              </w:rPr>
              <w:t>。</w:t>
            </w:r>
          </w:p>
          <w:p>
            <w:pPr>
              <w:spacing w:line="360" w:lineRule="auto"/>
              <w:jc w:val="center"/>
              <w:rPr>
                <w:rFonts w:ascii="Times New Roman" w:hAnsi="Times New Roman" w:cs="Times New Roman"/>
                <w:b/>
                <w:bCs/>
              </w:rPr>
            </w:pPr>
            <w:r>
              <w:rPr>
                <w:rFonts w:ascii="Times New Roman" w:hAnsi="Times New Roman" w:cs="Times New Roman"/>
                <w:b/>
                <w:bCs/>
              </w:rPr>
              <w:t>表3-</w:t>
            </w:r>
            <w:r>
              <w:rPr>
                <w:rFonts w:hint="eastAsia" w:ascii="Times New Roman" w:hAnsi="Times New Roman" w:cs="Times New Roman"/>
                <w:b/>
                <w:bCs/>
                <w:lang w:val="en-US" w:eastAsia="zh-CN"/>
              </w:rPr>
              <w:t>6</w:t>
            </w:r>
            <w:r>
              <w:rPr>
                <w:rFonts w:ascii="Times New Roman" w:hAnsi="Times New Roman" w:cs="Times New Roman"/>
                <w:b/>
                <w:bCs/>
              </w:rPr>
              <w:t xml:space="preserve">  噪声监测结果  单位：[Leq（A）]</w:t>
            </w:r>
          </w:p>
          <w:tbl>
            <w:tblPr>
              <w:tblStyle w:val="24"/>
              <w:tblW w:w="906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1813"/>
              <w:gridCol w:w="1812"/>
              <w:gridCol w:w="1505"/>
              <w:gridCol w:w="21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监测点方位</w:t>
                  </w:r>
                </w:p>
              </w:tc>
              <w:tc>
                <w:tcPr>
                  <w:tcW w:w="1813"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监测日期</w:t>
                  </w:r>
                </w:p>
              </w:tc>
              <w:tc>
                <w:tcPr>
                  <w:tcW w:w="18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昼间</w:t>
                  </w:r>
                </w:p>
              </w:tc>
              <w:tc>
                <w:tcPr>
                  <w:tcW w:w="1505"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夜间</w:t>
                  </w:r>
                </w:p>
              </w:tc>
              <w:tc>
                <w:tcPr>
                  <w:tcW w:w="2120"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厂界东侧外1m</w:t>
                  </w:r>
                </w:p>
              </w:tc>
              <w:tc>
                <w:tcPr>
                  <w:tcW w:w="1813"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1月6日</w:t>
                  </w:r>
                </w:p>
              </w:tc>
              <w:tc>
                <w:tcPr>
                  <w:tcW w:w="181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50.1</w:t>
                  </w:r>
                </w:p>
              </w:tc>
              <w:tc>
                <w:tcPr>
                  <w:tcW w:w="1505"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46.2</w:t>
                  </w:r>
                </w:p>
              </w:tc>
              <w:tc>
                <w:tcPr>
                  <w:tcW w:w="2120" w:type="dxa"/>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昼间≤60dB（A）</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夜间≤50dB（A）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1月7日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52.8</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47.6</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厂界南侧外1m</w:t>
                  </w: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1月6日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48.6</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44.8</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1月7日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47.3</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43.1</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厂界西侧外1m</w:t>
                  </w: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1月6日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54.2</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48.9</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1月7日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56.3</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49.5</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厂界北侧外1m</w:t>
                  </w: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1月6日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49.7</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46.2</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81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1月7日</w:t>
                  </w:r>
                </w:p>
              </w:tc>
              <w:tc>
                <w:tcPr>
                  <w:tcW w:w="181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48.5</w:t>
                  </w:r>
                </w:p>
              </w:tc>
              <w:tc>
                <w:tcPr>
                  <w:tcW w:w="150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45.4</w:t>
                  </w:r>
                </w:p>
              </w:tc>
              <w:tc>
                <w:tcPr>
                  <w:tcW w:w="212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bl>
          <w:p>
            <w:pPr>
              <w:spacing w:line="480" w:lineRule="exact"/>
              <w:ind w:firstLine="480" w:firstLineChars="200"/>
              <w:rPr>
                <w:rFonts w:ascii="Times New Roman" w:hAnsi="Times New Roman" w:cs="Times New Roman"/>
              </w:rPr>
            </w:pPr>
            <w:r>
              <w:rPr>
                <w:rFonts w:ascii="Times New Roman" w:hAnsi="Times New Roman" w:cs="Times New Roman"/>
              </w:rPr>
              <w:t>本项目执行《声环境质量标准》（GB3096-2008）中2类标准（昼间≤60dB（A），夜间≤50dB（A）），由上表监测结果可知，项目北面、西面、南面、东面均能满足要求区域声环境质量良好。</w:t>
            </w:r>
          </w:p>
          <w:p>
            <w:pPr>
              <w:pStyle w:val="5"/>
              <w:ind w:firstLine="562"/>
              <w:outlineLvl w:val="1"/>
            </w:pPr>
            <w:bookmarkStart w:id="25" w:name="_Toc34059497"/>
            <w:r>
              <w:t>4、生态环境质量现状与评价</w:t>
            </w:r>
            <w:bookmarkEnd w:id="25"/>
          </w:p>
          <w:p>
            <w:pPr>
              <w:ind w:firstLine="480" w:firstLineChars="200"/>
            </w:pPr>
            <w:r>
              <w:t>根据生态环境现状调查，</w:t>
            </w:r>
            <w:r>
              <w:rPr>
                <w:rFonts w:hint="eastAsia" w:ascii="Times New Roman" w:hAnsi="Times New Roman"/>
                <w:lang w:val="zh-CN"/>
              </w:rPr>
              <w:t>项目位于城市城区，基本以城市生态系统为主，人类活动频繁。</w:t>
            </w:r>
            <w:r>
              <w:t>评价区域植被数量较多，但种类不丰富，生态系统稳定度和生态恢复能力一般。区域野生动物较少，未发现珍稀濒危物种。评价区域整体水土流失不明显。项目拟建地内植被稀少，无珍稀物种和国家保护物种。</w:t>
            </w:r>
          </w:p>
          <w:p/>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9288" w:type="dxa"/>
            <w:tcBorders>
              <w:tl2br w:val="nil"/>
              <w:tr2bl w:val="nil"/>
            </w:tcBorders>
          </w:tcPr>
          <w:p>
            <w:pPr>
              <w:rPr>
                <w:b/>
                <w:bCs/>
              </w:rPr>
            </w:pPr>
            <w:r>
              <w:rPr>
                <w:rFonts w:hint="eastAsia"/>
                <w:b/>
                <w:bCs/>
              </w:rPr>
              <w:t>主要环境保护目标（列出名单及保护级别）</w:t>
            </w:r>
          </w:p>
          <w:p>
            <w:pPr>
              <w:ind w:firstLine="480" w:firstLineChars="200"/>
              <w:rPr>
                <w:rFonts w:ascii="Times New Roman" w:hAnsi="Times New Roman" w:eastAsia="宋体"/>
                <w:b/>
                <w:bCs/>
              </w:rPr>
            </w:pPr>
            <w:r>
              <w:rPr>
                <w:rFonts w:hint="eastAsia" w:ascii="Times New Roman" w:hAnsi="Times New Roman" w:eastAsia="宋体"/>
                <w:szCs w:val="24"/>
              </w:rPr>
              <w:t>本项目位于</w:t>
            </w:r>
            <w:r>
              <w:rPr>
                <w:rFonts w:ascii="Times New Roman" w:hAnsi="Times New Roman" w:cs="Times New Roman"/>
              </w:rPr>
              <w:t>岳阳经济技术开发区木里港管理处新园社区</w:t>
            </w:r>
            <w:r>
              <w:rPr>
                <w:rFonts w:hint="eastAsia" w:ascii="Times New Roman" w:hAnsi="Times New Roman" w:eastAsia="宋体"/>
                <w:lang w:val="zh-CN"/>
              </w:rPr>
              <w:t>，</w:t>
            </w:r>
            <w:r>
              <w:rPr>
                <w:rFonts w:hint="eastAsia" w:ascii="Times New Roman" w:hAnsi="Times New Roman" w:eastAsia="宋体"/>
              </w:rPr>
              <w:t>项目</w:t>
            </w:r>
            <w:r>
              <w:rPr>
                <w:rFonts w:hint="eastAsia" w:ascii="Times New Roman" w:hAnsi="Times New Roman" w:eastAsia="宋体"/>
                <w:lang w:val="zh-CN"/>
              </w:rPr>
              <w:t>占地不属于自然保护、风景名胜区、饮用水源地和其他需要特殊保护的区域。本项目主要环境保护标分布情况见表3-</w:t>
            </w:r>
            <w:r>
              <w:rPr>
                <w:rFonts w:hint="eastAsia" w:ascii="Times New Roman" w:hAnsi="Times New Roman" w:eastAsia="宋体"/>
                <w:lang w:val="en-US" w:eastAsia="zh-CN"/>
              </w:rPr>
              <w:t>7</w:t>
            </w:r>
            <w:r>
              <w:rPr>
                <w:rFonts w:hint="eastAsia" w:ascii="Times New Roman" w:hAnsi="Times New Roman" w:eastAsia="宋体"/>
                <w:lang w:val="zh-CN"/>
              </w:rPr>
              <w:t>及附图3。</w:t>
            </w:r>
          </w:p>
          <w:p>
            <w:pPr>
              <w:spacing w:line="360" w:lineRule="auto"/>
              <w:ind w:firstLine="480" w:firstLineChars="200"/>
              <w:rPr>
                <w:b/>
              </w:rPr>
            </w:pPr>
            <w:r>
              <w:t>环境保护目标详见下表：</w:t>
            </w:r>
          </w:p>
          <w:p>
            <w:pPr>
              <w:spacing w:line="360" w:lineRule="auto"/>
              <w:jc w:val="center"/>
              <w:rPr>
                <w:rFonts w:ascii="Times New Roman" w:hAnsi="Times New Roman" w:cs="Times New Roman"/>
                <w:b/>
                <w:bCs/>
              </w:rPr>
            </w:pPr>
            <w:r>
              <w:rPr>
                <w:rFonts w:ascii="Times New Roman" w:hAnsi="Times New Roman" w:cs="Times New Roman"/>
                <w:b/>
                <w:bCs/>
              </w:rPr>
              <w:t>表</w:t>
            </w:r>
            <w:r>
              <w:rPr>
                <w:rFonts w:hint="eastAsia" w:ascii="Times New Roman" w:hAnsi="Times New Roman" w:cs="Times New Roman"/>
                <w:b/>
                <w:bCs/>
              </w:rPr>
              <w:t>3-</w:t>
            </w:r>
            <w:r>
              <w:rPr>
                <w:rFonts w:hint="eastAsia" w:ascii="Times New Roman" w:hAnsi="Times New Roman" w:cs="Times New Roman"/>
                <w:b/>
                <w:bCs/>
                <w:lang w:val="en-US" w:eastAsia="zh-CN"/>
              </w:rPr>
              <w:t>7</w:t>
            </w:r>
            <w:r>
              <w:rPr>
                <w:rFonts w:hint="eastAsia" w:ascii="Times New Roman" w:hAnsi="Times New Roman" w:cs="Times New Roman"/>
                <w:b/>
                <w:bCs/>
              </w:rPr>
              <w:t xml:space="preserve">  </w:t>
            </w:r>
            <w:r>
              <w:rPr>
                <w:rFonts w:ascii="Times New Roman" w:hAnsi="Times New Roman" w:cs="Times New Roman"/>
                <w:b/>
                <w:bCs/>
              </w:rPr>
              <w:t>环境保护目标一览表</w:t>
            </w:r>
          </w:p>
          <w:tbl>
            <w:tblPr>
              <w:tblStyle w:val="23"/>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1070"/>
              <w:gridCol w:w="748"/>
              <w:gridCol w:w="761"/>
              <w:gridCol w:w="1250"/>
              <w:gridCol w:w="1414"/>
              <w:gridCol w:w="942"/>
              <w:gridCol w:w="1084"/>
              <w:gridCol w:w="131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ascii="Times New Roman" w:hAnsi="Times New Roman" w:eastAsia="宋体"/>
                      <w:b/>
                      <w:bCs/>
                      <w:sz w:val="21"/>
                      <w:szCs w:val="21"/>
                    </w:rPr>
                    <w:t>环境要素</w:t>
                  </w:r>
                </w:p>
              </w:tc>
              <w:tc>
                <w:tcPr>
                  <w:tcW w:w="1070"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ascii="Times New Roman" w:hAnsi="Times New Roman" w:eastAsia="宋体"/>
                      <w:b/>
                      <w:bCs/>
                      <w:sz w:val="21"/>
                      <w:szCs w:val="21"/>
                    </w:rPr>
                    <w:t>保护目标名称</w:t>
                  </w:r>
                </w:p>
              </w:tc>
              <w:tc>
                <w:tcPr>
                  <w:tcW w:w="1509" w:type="dxa"/>
                  <w:gridSpan w:val="2"/>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坐标/m</w:t>
                  </w:r>
                </w:p>
              </w:tc>
              <w:tc>
                <w:tcPr>
                  <w:tcW w:w="1250"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保护</w:t>
                  </w:r>
                </w:p>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对象</w:t>
                  </w:r>
                </w:p>
              </w:tc>
              <w:tc>
                <w:tcPr>
                  <w:tcW w:w="1414"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保护内容</w:t>
                  </w:r>
                </w:p>
              </w:tc>
              <w:tc>
                <w:tcPr>
                  <w:tcW w:w="942"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环境功能区</w:t>
                  </w:r>
                </w:p>
              </w:tc>
              <w:tc>
                <w:tcPr>
                  <w:tcW w:w="1084"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相对项目位置</w:t>
                  </w:r>
                </w:p>
              </w:tc>
              <w:tc>
                <w:tcPr>
                  <w:tcW w:w="1318" w:type="dxa"/>
                  <w:vMerge w:val="restart"/>
                  <w:tcBorders>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相对厂界距离</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1070"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748" w:type="dxa"/>
                  <w:tcBorders>
                    <w:bottom w:val="single" w:color="000000" w:sz="12" w:space="0"/>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X</w:t>
                  </w:r>
                </w:p>
              </w:tc>
              <w:tc>
                <w:tcPr>
                  <w:tcW w:w="761" w:type="dxa"/>
                  <w:tcBorders>
                    <w:bottom w:val="single" w:color="000000" w:sz="12" w:space="0"/>
                    <w:tl2br w:val="nil"/>
                    <w:tr2bl w:val="nil"/>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Y</w:t>
                  </w:r>
                </w:p>
              </w:tc>
              <w:tc>
                <w:tcPr>
                  <w:tcW w:w="1250"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1414"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942"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1084"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c>
                <w:tcPr>
                  <w:tcW w:w="1318" w:type="dxa"/>
                  <w:vMerge w:val="continue"/>
                  <w:tcBorders>
                    <w:bottom w:val="single" w:color="000000" w:sz="12" w:space="0"/>
                    <w:tl2br w:val="nil"/>
                    <w:tr2bl w:val="nil"/>
                  </w:tcBorders>
                  <w:vAlign w:val="center"/>
                </w:tcPr>
                <w:p>
                  <w:pPr>
                    <w:spacing w:line="240" w:lineRule="auto"/>
                    <w:jc w:val="center"/>
                    <w:rPr>
                      <w:rFonts w:ascii="Times New Roman" w:hAnsi="Times New Roman" w:eastAsia="宋体"/>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restart"/>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大</w:t>
                  </w:r>
                </w:p>
                <w:p>
                  <w:pPr>
                    <w:spacing w:line="240" w:lineRule="auto"/>
                    <w:jc w:val="center"/>
                    <w:rPr>
                      <w:rFonts w:ascii="Times New Roman" w:hAnsi="Times New Roman" w:eastAsia="宋体"/>
                      <w:sz w:val="21"/>
                      <w:szCs w:val="21"/>
                    </w:rPr>
                  </w:pPr>
                  <w:r>
                    <w:rPr>
                      <w:rFonts w:ascii="Times New Roman" w:hAnsi="Times New Roman" w:eastAsia="宋体"/>
                      <w:sz w:val="21"/>
                      <w:szCs w:val="21"/>
                    </w:rPr>
                    <w:t>气</w:t>
                  </w:r>
                </w:p>
                <w:p>
                  <w:pPr>
                    <w:spacing w:line="240" w:lineRule="auto"/>
                    <w:jc w:val="center"/>
                    <w:rPr>
                      <w:rFonts w:ascii="Times New Roman" w:hAnsi="Times New Roman" w:eastAsia="宋体"/>
                      <w:sz w:val="21"/>
                      <w:szCs w:val="21"/>
                    </w:rPr>
                  </w:pPr>
                  <w:r>
                    <w:rPr>
                      <w:rFonts w:ascii="Times New Roman" w:hAnsi="Times New Roman" w:eastAsia="宋体"/>
                      <w:sz w:val="21"/>
                      <w:szCs w:val="21"/>
                    </w:rPr>
                    <w:t>环</w:t>
                  </w:r>
                </w:p>
                <w:p>
                  <w:pPr>
                    <w:spacing w:line="240" w:lineRule="auto"/>
                    <w:jc w:val="center"/>
                    <w:rPr>
                      <w:rFonts w:ascii="Times New Roman" w:hAnsi="Times New Roman" w:eastAsia="宋体"/>
                      <w:sz w:val="21"/>
                      <w:szCs w:val="21"/>
                    </w:rPr>
                  </w:pPr>
                  <w:r>
                    <w:rPr>
                      <w:rFonts w:ascii="Times New Roman" w:hAnsi="Times New Roman" w:eastAsia="宋体"/>
                      <w:sz w:val="21"/>
                      <w:szCs w:val="21"/>
                    </w:rPr>
                    <w:t>境</w:t>
                  </w:r>
                </w:p>
              </w:tc>
              <w:tc>
                <w:tcPr>
                  <w:tcW w:w="1070"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1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①</w:t>
                  </w:r>
                  <w:r>
                    <w:rPr>
                      <w:rFonts w:ascii="Times New Roman" w:hAnsi="Times New Roman" w:eastAsia="宋体"/>
                      <w:sz w:val="21"/>
                      <w:szCs w:val="21"/>
                    </w:rPr>
                    <w:fldChar w:fldCharType="end"/>
                  </w:r>
                  <w:r>
                    <w:rPr>
                      <w:rFonts w:hint="eastAsia" w:ascii="Times New Roman" w:hAnsi="Times New Roman" w:eastAsia="宋体"/>
                      <w:sz w:val="21"/>
                      <w:szCs w:val="21"/>
                    </w:rPr>
                    <w:t>木里港社区</w:t>
                  </w:r>
                </w:p>
              </w:tc>
              <w:tc>
                <w:tcPr>
                  <w:tcW w:w="748"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317</w:t>
                  </w:r>
                </w:p>
              </w:tc>
              <w:tc>
                <w:tcPr>
                  <w:tcW w:w="761"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r>
                    <w:rPr>
                      <w:rFonts w:ascii="Times New Roman" w:hAnsi="Times New Roman" w:eastAsia="宋体"/>
                      <w:sz w:val="21"/>
                      <w:szCs w:val="21"/>
                    </w:rPr>
                    <w:t>198</w:t>
                  </w:r>
                </w:p>
              </w:tc>
              <w:tc>
                <w:tcPr>
                  <w:tcW w:w="1250"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居民</w:t>
                  </w:r>
                </w:p>
              </w:tc>
              <w:tc>
                <w:tcPr>
                  <w:tcW w:w="1414"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160</w:t>
                  </w:r>
                  <w:r>
                    <w:rPr>
                      <w:rFonts w:hint="eastAsia" w:ascii="Times New Roman" w:hAnsi="Times New Roman" w:eastAsia="宋体"/>
                      <w:sz w:val="21"/>
                      <w:szCs w:val="21"/>
                    </w:rPr>
                    <w:t>户，</w:t>
                  </w:r>
                  <w:r>
                    <w:rPr>
                      <w:rFonts w:ascii="Times New Roman" w:hAnsi="Times New Roman" w:eastAsia="宋体"/>
                      <w:sz w:val="21"/>
                      <w:szCs w:val="21"/>
                    </w:rPr>
                    <w:t>640</w:t>
                  </w:r>
                  <w:r>
                    <w:rPr>
                      <w:rFonts w:hint="eastAsia" w:ascii="Times New Roman" w:hAnsi="Times New Roman" w:eastAsia="宋体"/>
                      <w:sz w:val="21"/>
                      <w:szCs w:val="21"/>
                    </w:rPr>
                    <w:t>人</w:t>
                  </w:r>
                </w:p>
              </w:tc>
              <w:tc>
                <w:tcPr>
                  <w:tcW w:w="942"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二类</w:t>
                  </w:r>
                </w:p>
              </w:tc>
              <w:tc>
                <w:tcPr>
                  <w:tcW w:w="1084"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东南侧</w:t>
                  </w:r>
                </w:p>
              </w:tc>
              <w:tc>
                <w:tcPr>
                  <w:tcW w:w="1318"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2</w:t>
                  </w:r>
                  <w:r>
                    <w:rPr>
                      <w:rFonts w:hint="eastAsia" w:ascii="Times New Roman" w:hAnsi="Times New Roman" w:eastAsia="宋体"/>
                      <w:sz w:val="21"/>
                      <w:szCs w:val="21"/>
                    </w:rPr>
                    <w:t>36~</w:t>
                  </w:r>
                  <w:r>
                    <w:rPr>
                      <w:rFonts w:ascii="Times New Roman" w:hAnsi="Times New Roman" w:eastAsia="宋体"/>
                      <w:sz w:val="21"/>
                      <w:szCs w:val="21"/>
                    </w:rPr>
                    <w:t>4</w:t>
                  </w:r>
                  <w:r>
                    <w:rPr>
                      <w:rFonts w:hint="eastAsia" w:ascii="Times New Roman" w:hAnsi="Times New Roman" w:eastAsia="宋体"/>
                      <w:sz w:val="21"/>
                      <w:szCs w:val="21"/>
                    </w:rPr>
                    <w:t>00m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tl2br w:val="nil"/>
                    <w:tr2bl w:val="nil"/>
                  </w:tcBorders>
                  <w:vAlign w:val="center"/>
                </w:tcPr>
                <w:p>
                  <w:pPr>
                    <w:spacing w:line="240" w:lineRule="auto"/>
                    <w:jc w:val="center"/>
                    <w:rPr>
                      <w:rFonts w:ascii="Times New Roman" w:hAnsi="Times New Roman" w:eastAsia="宋体"/>
                      <w:sz w:val="21"/>
                      <w:szCs w:val="21"/>
                    </w:rPr>
                  </w:pP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2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②</w:t>
                  </w:r>
                  <w:r>
                    <w:rPr>
                      <w:rFonts w:ascii="Times New Roman" w:hAnsi="Times New Roman" w:eastAsia="宋体"/>
                      <w:sz w:val="21"/>
                      <w:szCs w:val="21"/>
                    </w:rPr>
                    <w:fldChar w:fldCharType="end"/>
                  </w:r>
                  <w:r>
                    <w:rPr>
                      <w:rFonts w:hint="eastAsia" w:ascii="Times New Roman" w:hAnsi="Times New Roman" w:eastAsia="宋体"/>
                      <w:sz w:val="21"/>
                      <w:szCs w:val="21"/>
                    </w:rPr>
                    <w:t>散户</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176</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345</w:t>
                  </w:r>
                </w:p>
              </w:tc>
              <w:tc>
                <w:tcPr>
                  <w:tcW w:w="125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居民</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0户，4</w:t>
                  </w:r>
                  <w:r>
                    <w:rPr>
                      <w:rFonts w:ascii="Times New Roman" w:hAnsi="Times New Roman" w:eastAsia="宋体"/>
                      <w:sz w:val="21"/>
                      <w:szCs w:val="21"/>
                    </w:rPr>
                    <w:t>0</w:t>
                  </w:r>
                  <w:r>
                    <w:rPr>
                      <w:rFonts w:hint="eastAsia" w:ascii="Times New Roman" w:hAnsi="Times New Roman" w:eastAsia="宋体"/>
                      <w:sz w:val="21"/>
                      <w:szCs w:val="21"/>
                    </w:rPr>
                    <w:t>人</w:t>
                  </w:r>
                </w:p>
              </w:tc>
              <w:tc>
                <w:tcPr>
                  <w:tcW w:w="942"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二类</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东北侧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28</w:t>
                  </w:r>
                  <w:r>
                    <w:rPr>
                      <w:rFonts w:ascii="Times New Roman" w:hAnsi="Times New Roman" w:eastAsia="宋体"/>
                      <w:sz w:val="21"/>
                      <w:szCs w:val="21"/>
                    </w:rPr>
                    <w:t>1</w:t>
                  </w:r>
                  <w:r>
                    <w:rPr>
                      <w:rFonts w:hint="eastAsia" w:ascii="Times New Roman" w:hAnsi="Times New Roman" w:eastAsia="宋体"/>
                      <w:sz w:val="21"/>
                      <w:szCs w:val="21"/>
                    </w:rPr>
                    <w:t>~</w:t>
                  </w:r>
                  <w:r>
                    <w:rPr>
                      <w:rFonts w:ascii="Times New Roman" w:hAnsi="Times New Roman" w:eastAsia="宋体"/>
                      <w:sz w:val="21"/>
                      <w:szCs w:val="21"/>
                    </w:rPr>
                    <w:t>62</w:t>
                  </w:r>
                  <w:r>
                    <w:rPr>
                      <w:rFonts w:hint="eastAsia" w:ascii="Times New Roman" w:hAnsi="Times New Roman" w:eastAsia="宋体"/>
                      <w:sz w:val="21"/>
                      <w:szCs w:val="21"/>
                    </w:rPr>
                    <w:t>3m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tl2br w:val="nil"/>
                    <w:tr2bl w:val="nil"/>
                  </w:tcBorders>
                  <w:vAlign w:val="center"/>
                </w:tcPr>
                <w:p>
                  <w:pPr>
                    <w:spacing w:line="240" w:lineRule="auto"/>
                    <w:jc w:val="center"/>
                    <w:rPr>
                      <w:rFonts w:ascii="Times New Roman" w:hAnsi="Times New Roman" w:eastAsia="宋体"/>
                      <w:sz w:val="21"/>
                      <w:szCs w:val="21"/>
                    </w:rPr>
                  </w:pP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3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③</w:t>
                  </w:r>
                  <w:r>
                    <w:rPr>
                      <w:rFonts w:ascii="Times New Roman" w:hAnsi="Times New Roman" w:eastAsia="宋体"/>
                      <w:sz w:val="21"/>
                      <w:szCs w:val="21"/>
                    </w:rPr>
                    <w:fldChar w:fldCharType="end"/>
                  </w:r>
                  <w:r>
                    <w:rPr>
                      <w:rFonts w:hint="eastAsia" w:ascii="Times New Roman" w:hAnsi="Times New Roman" w:eastAsia="宋体"/>
                      <w:sz w:val="21"/>
                      <w:szCs w:val="21"/>
                    </w:rPr>
                    <w:t>散户</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680</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0</w:t>
                  </w:r>
                </w:p>
              </w:tc>
              <w:tc>
                <w:tcPr>
                  <w:tcW w:w="125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居民</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100</w:t>
                  </w:r>
                  <w:r>
                    <w:rPr>
                      <w:rFonts w:hint="eastAsia" w:ascii="Times New Roman" w:hAnsi="Times New Roman" w:eastAsia="宋体"/>
                      <w:sz w:val="21"/>
                      <w:szCs w:val="21"/>
                    </w:rPr>
                    <w:t>户，4</w:t>
                  </w:r>
                  <w:r>
                    <w:rPr>
                      <w:rFonts w:ascii="Times New Roman" w:hAnsi="Times New Roman" w:eastAsia="宋体"/>
                      <w:sz w:val="21"/>
                      <w:szCs w:val="21"/>
                    </w:rPr>
                    <w:t>00</w:t>
                  </w:r>
                  <w:r>
                    <w:rPr>
                      <w:rFonts w:hint="eastAsia" w:ascii="Times New Roman" w:hAnsi="Times New Roman" w:eastAsia="宋体"/>
                      <w:sz w:val="21"/>
                      <w:szCs w:val="21"/>
                    </w:rPr>
                    <w:t>人</w:t>
                  </w:r>
                </w:p>
              </w:tc>
              <w:tc>
                <w:tcPr>
                  <w:tcW w:w="942"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二类</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南侧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680</w:t>
                  </w:r>
                  <w:r>
                    <w:rPr>
                      <w:rFonts w:hint="eastAsia" w:ascii="Times New Roman" w:hAnsi="Times New Roman" w:eastAsia="宋体"/>
                      <w:sz w:val="21"/>
                      <w:szCs w:val="21"/>
                    </w:rPr>
                    <w:t>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restar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水</w:t>
                  </w:r>
                </w:p>
                <w:p>
                  <w:pPr>
                    <w:spacing w:line="240" w:lineRule="auto"/>
                    <w:jc w:val="center"/>
                    <w:rPr>
                      <w:rFonts w:ascii="Times New Roman" w:hAnsi="Times New Roman" w:eastAsia="宋体"/>
                      <w:sz w:val="21"/>
                      <w:szCs w:val="21"/>
                    </w:rPr>
                  </w:pPr>
                  <w:r>
                    <w:rPr>
                      <w:rFonts w:ascii="Times New Roman" w:hAnsi="Times New Roman" w:eastAsia="宋体"/>
                      <w:sz w:val="21"/>
                      <w:szCs w:val="21"/>
                    </w:rPr>
                    <w:t>环</w:t>
                  </w:r>
                </w:p>
                <w:p>
                  <w:pPr>
                    <w:spacing w:line="240" w:lineRule="auto"/>
                    <w:jc w:val="center"/>
                    <w:rPr>
                      <w:rFonts w:ascii="Times New Roman" w:hAnsi="Times New Roman" w:eastAsia="宋体"/>
                      <w:sz w:val="21"/>
                      <w:szCs w:val="21"/>
                    </w:rPr>
                  </w:pPr>
                  <w:r>
                    <w:rPr>
                      <w:rFonts w:ascii="Times New Roman" w:hAnsi="Times New Roman" w:eastAsia="宋体"/>
                      <w:sz w:val="21"/>
                      <w:szCs w:val="21"/>
                    </w:rPr>
                    <w:t>境</w:t>
                  </w: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巴山港</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55</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0</w:t>
                  </w:r>
                </w:p>
              </w:tc>
              <w:tc>
                <w:tcPr>
                  <w:tcW w:w="1250"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景观娱乐用水区</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水生动植物</w:t>
                  </w:r>
                </w:p>
              </w:tc>
              <w:tc>
                <w:tcPr>
                  <w:tcW w:w="942" w:type="dxa"/>
                  <w:tcBorders>
                    <w:tl2br w:val="nil"/>
                    <w:tr2bl w:val="nil"/>
                  </w:tcBorders>
                  <w:vAlign w:val="center"/>
                </w:tcPr>
                <w:p>
                  <w:pPr>
                    <w:spacing w:line="240" w:lineRule="auto"/>
                    <w:jc w:val="center"/>
                    <w:rPr>
                      <w:rFonts w:ascii="Times New Roman" w:hAnsi="Times New Roman" w:eastAsia="宋体" w:cs="宋体"/>
                      <w:sz w:val="21"/>
                      <w:szCs w:val="21"/>
                    </w:rPr>
                  </w:pPr>
                  <w:r>
                    <w:rPr>
                      <w:rFonts w:hint="eastAsia" w:ascii="Times New Roman" w:hAnsi="Times New Roman" w:eastAsia="宋体" w:cs="宋体"/>
                      <w:sz w:val="21"/>
                      <w:szCs w:val="21"/>
                    </w:rPr>
                    <w:t>Ⅲ</w:t>
                  </w:r>
                  <w:r>
                    <w:rPr>
                      <w:rFonts w:hint="eastAsia" w:ascii="Times New Roman" w:hAnsi="Times New Roman" w:eastAsia="宋体"/>
                      <w:sz w:val="21"/>
                      <w:szCs w:val="21"/>
                    </w:rPr>
                    <w:t>类水</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北侧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5</w:t>
                  </w:r>
                  <w:r>
                    <w:rPr>
                      <w:rFonts w:ascii="Times New Roman" w:hAnsi="Times New Roman" w:eastAsia="宋体"/>
                      <w:sz w:val="21"/>
                      <w:szCs w:val="21"/>
                    </w:rPr>
                    <w:t>5m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tl2br w:val="nil"/>
                    <w:tr2bl w:val="nil"/>
                  </w:tcBorders>
                  <w:vAlign w:val="center"/>
                </w:tcPr>
                <w:p>
                  <w:pPr>
                    <w:spacing w:line="240" w:lineRule="auto"/>
                    <w:jc w:val="center"/>
                    <w:rPr>
                      <w:rFonts w:ascii="Times New Roman" w:hAnsi="Times New Roman" w:eastAsia="宋体"/>
                      <w:sz w:val="21"/>
                      <w:szCs w:val="21"/>
                    </w:rPr>
                  </w:pP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南湖</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r>
                    <w:rPr>
                      <w:rFonts w:ascii="Times New Roman" w:hAnsi="Times New Roman" w:eastAsia="宋体"/>
                      <w:sz w:val="21"/>
                      <w:szCs w:val="21"/>
                    </w:rPr>
                    <w:t>542</w:t>
                  </w:r>
                  <w:r>
                    <w:rPr>
                      <w:rFonts w:hint="eastAsia" w:ascii="Times New Roman" w:hAnsi="Times New Roman" w:eastAsia="宋体"/>
                      <w:sz w:val="21"/>
                      <w:szCs w:val="21"/>
                    </w:rPr>
                    <w:t>0</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0</w:t>
                  </w:r>
                </w:p>
              </w:tc>
              <w:tc>
                <w:tcPr>
                  <w:tcW w:w="125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景观娱乐用水区</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水生动植物</w:t>
                  </w:r>
                </w:p>
              </w:tc>
              <w:tc>
                <w:tcPr>
                  <w:tcW w:w="942" w:type="dxa"/>
                  <w:tcBorders>
                    <w:tl2br w:val="nil"/>
                    <w:tr2bl w:val="nil"/>
                  </w:tcBorders>
                  <w:vAlign w:val="center"/>
                </w:tcPr>
                <w:p>
                  <w:pPr>
                    <w:spacing w:line="240" w:lineRule="auto"/>
                    <w:jc w:val="center"/>
                    <w:rPr>
                      <w:rFonts w:ascii="Times New Roman" w:hAnsi="Times New Roman" w:eastAsia="宋体"/>
                      <w:sz w:val="21"/>
                      <w:szCs w:val="21"/>
                      <w:u w:val="single"/>
                    </w:rPr>
                  </w:pPr>
                  <w:r>
                    <w:rPr>
                      <w:rFonts w:hint="eastAsia" w:ascii="Times New Roman" w:hAnsi="Times New Roman" w:eastAsia="宋体" w:cs="宋体"/>
                      <w:sz w:val="21"/>
                      <w:szCs w:val="21"/>
                    </w:rPr>
                    <w:t>Ⅲ</w:t>
                  </w:r>
                  <w:r>
                    <w:rPr>
                      <w:rFonts w:hint="eastAsia" w:ascii="Times New Roman" w:hAnsi="Times New Roman" w:eastAsia="宋体"/>
                      <w:sz w:val="21"/>
                      <w:szCs w:val="21"/>
                    </w:rPr>
                    <w:t>类水</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西侧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5</w:t>
                  </w:r>
                  <w:r>
                    <w:rPr>
                      <w:rFonts w:hint="eastAsia" w:ascii="Times New Roman" w:hAnsi="Times New Roman" w:eastAsia="宋体"/>
                      <w:sz w:val="21"/>
                      <w:szCs w:val="21"/>
                    </w:rPr>
                    <w:t>.</w:t>
                  </w:r>
                  <w:r>
                    <w:rPr>
                      <w:rFonts w:ascii="Times New Roman" w:hAnsi="Times New Roman" w:eastAsia="宋体"/>
                      <w:sz w:val="21"/>
                      <w:szCs w:val="21"/>
                    </w:rPr>
                    <w:t>42</w:t>
                  </w:r>
                  <w:r>
                    <w:rPr>
                      <w:rFonts w:hint="eastAsia" w:ascii="Times New Roman" w:hAnsi="Times New Roman" w:eastAsia="宋体"/>
                      <w:sz w:val="21"/>
                      <w:szCs w:val="21"/>
                    </w:rPr>
                    <w:t>km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tl2br w:val="nil"/>
                    <w:tr2bl w:val="nil"/>
                  </w:tcBorders>
                  <w:vAlign w:val="center"/>
                </w:tcPr>
                <w:p>
                  <w:pPr>
                    <w:spacing w:line="240" w:lineRule="auto"/>
                    <w:jc w:val="center"/>
                    <w:rPr>
                      <w:rFonts w:ascii="Times New Roman" w:hAnsi="Times New Roman" w:eastAsia="宋体"/>
                      <w:sz w:val="21"/>
                      <w:szCs w:val="21"/>
                    </w:rPr>
                  </w:pP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北港河</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r>
                    <w:rPr>
                      <w:rFonts w:ascii="Times New Roman" w:hAnsi="Times New Roman" w:eastAsia="宋体"/>
                      <w:sz w:val="21"/>
                      <w:szCs w:val="21"/>
                    </w:rPr>
                    <w:t>29</w:t>
                  </w:r>
                  <w:r>
                    <w:rPr>
                      <w:rFonts w:hint="eastAsia" w:ascii="Times New Roman" w:hAnsi="Times New Roman" w:eastAsia="宋体"/>
                      <w:sz w:val="21"/>
                      <w:szCs w:val="21"/>
                    </w:rPr>
                    <w:t>60</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0</w:t>
                  </w:r>
                </w:p>
              </w:tc>
              <w:tc>
                <w:tcPr>
                  <w:tcW w:w="1250"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sz w:val="21"/>
                      <w:szCs w:val="21"/>
                    </w:rPr>
                    <w:t>景观用水</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水生动植物</w:t>
                  </w:r>
                </w:p>
              </w:tc>
              <w:tc>
                <w:tcPr>
                  <w:tcW w:w="942" w:type="dxa"/>
                  <w:tcBorders>
                    <w:tl2br w:val="nil"/>
                    <w:tr2bl w:val="nil"/>
                  </w:tcBorders>
                  <w:vAlign w:val="center"/>
                </w:tcPr>
                <w:p>
                  <w:pPr>
                    <w:spacing w:line="240" w:lineRule="auto"/>
                    <w:jc w:val="center"/>
                    <w:rPr>
                      <w:rFonts w:ascii="Times New Roman" w:hAnsi="Times New Roman" w:eastAsia="宋体" w:cs="宋体"/>
                      <w:sz w:val="21"/>
                      <w:szCs w:val="21"/>
                    </w:rPr>
                  </w:pPr>
                  <w:r>
                    <w:rPr>
                      <w:rFonts w:hint="eastAsia" w:ascii="Times New Roman" w:hAnsi="Times New Roman" w:eastAsia="宋体"/>
                      <w:sz w:val="21"/>
                      <w:szCs w:val="21"/>
                    </w:rPr>
                    <w:t>Ⅲ</w:t>
                  </w:r>
                  <w:r>
                    <w:rPr>
                      <w:rFonts w:ascii="Times New Roman" w:hAnsi="Times New Roman" w:eastAsia="宋体"/>
                      <w:sz w:val="21"/>
                      <w:szCs w:val="21"/>
                    </w:rPr>
                    <w:t>类水</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西侧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2.96</w:t>
                  </w:r>
                  <w:r>
                    <w:rPr>
                      <w:rFonts w:hint="eastAsia" w:ascii="Times New Roman" w:hAnsi="Times New Roman" w:eastAsia="宋体"/>
                      <w:sz w:val="21"/>
                      <w:szCs w:val="21"/>
                    </w:rPr>
                    <w:t>km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restar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声</w:t>
                  </w:r>
                </w:p>
                <w:p>
                  <w:pPr>
                    <w:spacing w:line="240" w:lineRule="auto"/>
                    <w:jc w:val="center"/>
                    <w:rPr>
                      <w:rFonts w:ascii="Times New Roman" w:hAnsi="Times New Roman" w:eastAsia="宋体"/>
                      <w:sz w:val="21"/>
                      <w:szCs w:val="21"/>
                    </w:rPr>
                  </w:pPr>
                  <w:r>
                    <w:rPr>
                      <w:rFonts w:ascii="Times New Roman" w:hAnsi="Times New Roman" w:eastAsia="宋体"/>
                      <w:sz w:val="21"/>
                      <w:szCs w:val="21"/>
                    </w:rPr>
                    <w:t>环</w:t>
                  </w:r>
                </w:p>
                <w:p>
                  <w:pPr>
                    <w:spacing w:line="240" w:lineRule="auto"/>
                    <w:jc w:val="center"/>
                    <w:rPr>
                      <w:rFonts w:ascii="Times New Roman" w:hAnsi="Times New Roman" w:eastAsia="宋体"/>
                      <w:sz w:val="21"/>
                      <w:szCs w:val="21"/>
                    </w:rPr>
                  </w:pPr>
                  <w:r>
                    <w:rPr>
                      <w:rFonts w:ascii="Times New Roman" w:hAnsi="Times New Roman" w:eastAsia="宋体"/>
                      <w:sz w:val="21"/>
                      <w:szCs w:val="21"/>
                    </w:rPr>
                    <w:t>境</w:t>
                  </w:r>
                </w:p>
              </w:tc>
              <w:tc>
                <w:tcPr>
                  <w:tcW w:w="1070"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1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①</w:t>
                  </w:r>
                  <w:r>
                    <w:rPr>
                      <w:rFonts w:ascii="Times New Roman" w:hAnsi="Times New Roman" w:eastAsia="宋体"/>
                      <w:sz w:val="21"/>
                      <w:szCs w:val="21"/>
                    </w:rPr>
                    <w:fldChar w:fldCharType="end"/>
                  </w:r>
                  <w:r>
                    <w:rPr>
                      <w:rFonts w:hint="eastAsia" w:ascii="Times New Roman" w:hAnsi="Times New Roman" w:eastAsia="宋体"/>
                      <w:sz w:val="21"/>
                      <w:szCs w:val="21"/>
                    </w:rPr>
                    <w:t>木里港社区</w:t>
                  </w:r>
                </w:p>
              </w:tc>
              <w:tc>
                <w:tcPr>
                  <w:tcW w:w="748"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317</w:t>
                  </w:r>
                </w:p>
              </w:tc>
              <w:tc>
                <w:tcPr>
                  <w:tcW w:w="761"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r>
                    <w:rPr>
                      <w:rFonts w:ascii="Times New Roman" w:hAnsi="Times New Roman" w:eastAsia="宋体"/>
                      <w:sz w:val="21"/>
                      <w:szCs w:val="21"/>
                    </w:rPr>
                    <w:t>198</w:t>
                  </w:r>
                </w:p>
              </w:tc>
              <w:tc>
                <w:tcPr>
                  <w:tcW w:w="1250"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居民</w:t>
                  </w:r>
                </w:p>
              </w:tc>
              <w:tc>
                <w:tcPr>
                  <w:tcW w:w="1414"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160</w:t>
                  </w:r>
                  <w:r>
                    <w:rPr>
                      <w:rFonts w:hint="eastAsia" w:ascii="Times New Roman" w:hAnsi="Times New Roman" w:eastAsia="宋体"/>
                      <w:sz w:val="21"/>
                      <w:szCs w:val="21"/>
                    </w:rPr>
                    <w:t>户，</w:t>
                  </w:r>
                  <w:r>
                    <w:rPr>
                      <w:rFonts w:ascii="Times New Roman" w:hAnsi="Times New Roman" w:eastAsia="宋体"/>
                      <w:sz w:val="21"/>
                      <w:szCs w:val="21"/>
                    </w:rPr>
                    <w:t>640</w:t>
                  </w:r>
                  <w:r>
                    <w:rPr>
                      <w:rFonts w:hint="eastAsia" w:ascii="Times New Roman" w:hAnsi="Times New Roman" w:eastAsia="宋体"/>
                      <w:sz w:val="21"/>
                      <w:szCs w:val="21"/>
                    </w:rPr>
                    <w:t>人</w:t>
                  </w:r>
                </w:p>
              </w:tc>
              <w:tc>
                <w:tcPr>
                  <w:tcW w:w="942"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二类</w:t>
                  </w:r>
                </w:p>
              </w:tc>
              <w:tc>
                <w:tcPr>
                  <w:tcW w:w="1084" w:type="dxa"/>
                  <w:tcBorders>
                    <w:top w:val="single" w:color="000000" w:sz="12" w:space="0"/>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东南侧</w:t>
                  </w:r>
                </w:p>
              </w:tc>
              <w:tc>
                <w:tcPr>
                  <w:tcW w:w="1318" w:type="dxa"/>
                  <w:tcBorders>
                    <w:top w:val="single" w:color="000000" w:sz="12" w:space="0"/>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2</w:t>
                  </w:r>
                  <w:r>
                    <w:rPr>
                      <w:rFonts w:hint="eastAsia" w:ascii="Times New Roman" w:hAnsi="Times New Roman" w:eastAsia="宋体"/>
                      <w:sz w:val="21"/>
                      <w:szCs w:val="21"/>
                    </w:rPr>
                    <w:t>36~</w:t>
                  </w:r>
                  <w:r>
                    <w:rPr>
                      <w:rFonts w:ascii="Times New Roman" w:hAnsi="Times New Roman" w:eastAsia="宋体"/>
                      <w:sz w:val="21"/>
                      <w:szCs w:val="21"/>
                    </w:rPr>
                    <w:t>4</w:t>
                  </w:r>
                  <w:r>
                    <w:rPr>
                      <w:rFonts w:hint="eastAsia" w:ascii="Times New Roman" w:hAnsi="Times New Roman" w:eastAsia="宋体"/>
                      <w:sz w:val="21"/>
                      <w:szCs w:val="21"/>
                    </w:rPr>
                    <w:t>00m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54" w:type="dxa"/>
                  <w:vMerge w:val="continue"/>
                  <w:tcBorders>
                    <w:tl2br w:val="nil"/>
                    <w:tr2bl w:val="nil"/>
                  </w:tcBorders>
                  <w:vAlign w:val="center"/>
                </w:tcPr>
                <w:p>
                  <w:pPr>
                    <w:spacing w:line="240" w:lineRule="auto"/>
                    <w:jc w:val="center"/>
                    <w:rPr>
                      <w:rFonts w:ascii="Times New Roman" w:hAnsi="Times New Roman" w:eastAsia="宋体"/>
                      <w:sz w:val="21"/>
                      <w:szCs w:val="21"/>
                    </w:rPr>
                  </w:pPr>
                </w:p>
              </w:tc>
              <w:tc>
                <w:tcPr>
                  <w:tcW w:w="1070"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2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②</w:t>
                  </w:r>
                  <w:r>
                    <w:rPr>
                      <w:rFonts w:ascii="Times New Roman" w:hAnsi="Times New Roman" w:eastAsia="宋体"/>
                      <w:sz w:val="21"/>
                      <w:szCs w:val="21"/>
                    </w:rPr>
                    <w:fldChar w:fldCharType="end"/>
                  </w:r>
                  <w:r>
                    <w:rPr>
                      <w:rFonts w:hint="eastAsia" w:ascii="Times New Roman" w:hAnsi="Times New Roman" w:eastAsia="宋体"/>
                      <w:sz w:val="21"/>
                      <w:szCs w:val="21"/>
                    </w:rPr>
                    <w:t>散户</w:t>
                  </w:r>
                </w:p>
              </w:tc>
              <w:tc>
                <w:tcPr>
                  <w:tcW w:w="748"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176</w:t>
                  </w:r>
                </w:p>
              </w:tc>
              <w:tc>
                <w:tcPr>
                  <w:tcW w:w="761"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345</w:t>
                  </w:r>
                </w:p>
              </w:tc>
              <w:tc>
                <w:tcPr>
                  <w:tcW w:w="1250"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居民</w:t>
                  </w:r>
                </w:p>
              </w:tc>
              <w:tc>
                <w:tcPr>
                  <w:tcW w:w="1414" w:type="dxa"/>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0户，4</w:t>
                  </w:r>
                  <w:r>
                    <w:rPr>
                      <w:rFonts w:ascii="Times New Roman" w:hAnsi="Times New Roman" w:eastAsia="宋体"/>
                      <w:sz w:val="21"/>
                      <w:szCs w:val="21"/>
                    </w:rPr>
                    <w:t>0</w:t>
                  </w:r>
                  <w:r>
                    <w:rPr>
                      <w:rFonts w:hint="eastAsia" w:ascii="Times New Roman" w:hAnsi="Times New Roman" w:eastAsia="宋体"/>
                      <w:sz w:val="21"/>
                      <w:szCs w:val="21"/>
                    </w:rPr>
                    <w:t>人</w:t>
                  </w:r>
                </w:p>
              </w:tc>
              <w:tc>
                <w:tcPr>
                  <w:tcW w:w="942"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二类</w:t>
                  </w:r>
                </w:p>
              </w:tc>
              <w:tc>
                <w:tcPr>
                  <w:tcW w:w="1084"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东北侧</w:t>
                  </w:r>
                </w:p>
              </w:tc>
              <w:tc>
                <w:tcPr>
                  <w:tcW w:w="1318" w:type="dxa"/>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28</w:t>
                  </w:r>
                  <w:r>
                    <w:rPr>
                      <w:rFonts w:ascii="Times New Roman" w:hAnsi="Times New Roman" w:eastAsia="宋体"/>
                      <w:sz w:val="21"/>
                      <w:szCs w:val="21"/>
                    </w:rPr>
                    <w:t>1</w:t>
                  </w:r>
                  <w:r>
                    <w:rPr>
                      <w:rFonts w:hint="eastAsia" w:ascii="Times New Roman" w:hAnsi="Times New Roman" w:eastAsia="宋体"/>
                      <w:sz w:val="21"/>
                      <w:szCs w:val="21"/>
                    </w:rPr>
                    <w:t>~</w:t>
                  </w:r>
                  <w:r>
                    <w:rPr>
                      <w:rFonts w:ascii="Times New Roman" w:hAnsi="Times New Roman" w:eastAsia="宋体"/>
                      <w:sz w:val="21"/>
                      <w:szCs w:val="21"/>
                    </w:rPr>
                    <w:t>62</w:t>
                  </w:r>
                  <w:r>
                    <w:rPr>
                      <w:rFonts w:hint="eastAsia" w:ascii="Times New Roman" w:hAnsi="Times New Roman" w:eastAsia="宋体"/>
                      <w:sz w:val="21"/>
                      <w:szCs w:val="21"/>
                    </w:rPr>
                    <w:t>3m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241" w:type="dxa"/>
                  <w:gridSpan w:val="9"/>
                  <w:tcBorders>
                    <w:tl2br w:val="nil"/>
                    <w:tr2bl w:val="nil"/>
                  </w:tcBorders>
                  <w:vAlign w:val="center"/>
                </w:tcPr>
                <w:p>
                  <w:pPr>
                    <w:spacing w:line="240" w:lineRule="auto"/>
                    <w:jc w:val="left"/>
                    <w:rPr>
                      <w:rFonts w:ascii="Times New Roman" w:hAnsi="Times New Roman" w:eastAsia="宋体"/>
                      <w:sz w:val="21"/>
                      <w:szCs w:val="21"/>
                    </w:rPr>
                  </w:pPr>
                  <w:r>
                    <w:rPr>
                      <w:rFonts w:hint="eastAsia" w:ascii="Times New Roman" w:hAnsi="Times New Roman" w:eastAsia="宋体"/>
                      <w:sz w:val="21"/>
                      <w:szCs w:val="21"/>
                    </w:rPr>
                    <w:t xml:space="preserve">坐标为以项目西南侧角落为中心原点（0，0），东西向为 X 坐标轴，南北向为 Y 坐标轴 </w:t>
                  </w:r>
                </w:p>
              </w:tc>
            </w:tr>
          </w:tbl>
          <w:p>
            <w:pPr>
              <w:pStyle w:val="2"/>
            </w:pPr>
          </w:p>
        </w:tc>
      </w:tr>
    </w:tbl>
    <w:p>
      <w:pPr>
        <w:pStyle w:val="4"/>
        <w:sectPr>
          <w:pgSz w:w="11906" w:h="16838"/>
          <w:pgMar w:top="1440" w:right="1800" w:bottom="1440" w:left="1800" w:header="851" w:footer="992" w:gutter="0"/>
          <w:cols w:space="425" w:num="1"/>
          <w:docGrid w:type="lines" w:linePitch="312" w:charSpace="0"/>
        </w:sectPr>
      </w:pPr>
    </w:p>
    <w:p>
      <w:pPr>
        <w:pStyle w:val="4"/>
      </w:pPr>
      <w:bookmarkStart w:id="26" w:name="_Toc34059498"/>
      <w:r>
        <w:rPr>
          <w:rFonts w:hint="eastAsia"/>
        </w:rPr>
        <w:t>四、评价适用标准</w:t>
      </w:r>
      <w:bookmarkEnd w:id="26"/>
    </w:p>
    <w:tbl>
      <w:tblPr>
        <w:tblStyle w:val="24"/>
        <w:tblW w:w="92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8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环境质量标准</w:t>
            </w:r>
          </w:p>
        </w:tc>
        <w:tc>
          <w:tcPr>
            <w:tcW w:w="8866" w:type="dxa"/>
            <w:tcBorders>
              <w:tl2br w:val="nil"/>
              <w:tr2bl w:val="nil"/>
            </w:tcBorders>
          </w:tcPr>
          <w:p>
            <w:pPr>
              <w:pStyle w:val="5"/>
              <w:ind w:firstLine="562"/>
              <w:outlineLvl w:val="1"/>
              <w:rPr>
                <w:rFonts w:cs="Times New Roman"/>
              </w:rPr>
            </w:pPr>
            <w:bookmarkStart w:id="27" w:name="_Toc34059499"/>
            <w:r>
              <w:rPr>
                <w:rFonts w:cs="Times New Roman"/>
              </w:rPr>
              <w:t>1、环境空气质量</w:t>
            </w:r>
            <w:r>
              <w:rPr>
                <w:rFonts w:hint="eastAsia" w:cs="Times New Roman"/>
              </w:rPr>
              <w:t>标准</w:t>
            </w:r>
            <w:bookmarkEnd w:id="27"/>
          </w:p>
          <w:p>
            <w:pPr>
              <w:adjustRightInd w:val="0"/>
              <w:snapToGrid w:val="0"/>
              <w:ind w:firstLine="480" w:firstLineChars="200"/>
              <w:rPr>
                <w:rFonts w:ascii="Times New Roman" w:hAnsi="Times New Roman" w:cs="Times New Roman"/>
              </w:rPr>
            </w:pPr>
            <w:r>
              <w:rPr>
                <w:rFonts w:ascii="Times New Roman" w:hAnsi="Times New Roman" w:cs="Times New Roman"/>
              </w:rPr>
              <w:t>SO</w:t>
            </w:r>
            <w:r>
              <w:rPr>
                <w:rFonts w:ascii="Times New Roman" w:hAnsi="Times New Roman" w:cs="Times New Roman"/>
                <w:vertAlign w:val="subscript"/>
              </w:rPr>
              <w:t>2</w:t>
            </w:r>
            <w:r>
              <w:rPr>
                <w:rFonts w:ascii="Times New Roman" w:hAnsi="Times New Roman" w:cs="Times New Roman"/>
              </w:rPr>
              <w:t>、NO</w:t>
            </w:r>
            <w:r>
              <w:rPr>
                <w:rFonts w:ascii="Times New Roman" w:hAnsi="Times New Roman" w:cs="Times New Roman"/>
                <w:vertAlign w:val="subscript"/>
              </w:rPr>
              <w:t>2</w:t>
            </w:r>
            <w:r>
              <w:rPr>
                <w:rFonts w:ascii="Times New Roman" w:hAnsi="Times New Roman" w:cs="Times New Roman"/>
              </w:rPr>
              <w:t>、PM</w:t>
            </w:r>
            <w:r>
              <w:rPr>
                <w:rFonts w:ascii="Times New Roman" w:hAnsi="Times New Roman" w:cs="Times New Roman"/>
                <w:vertAlign w:val="subscript"/>
              </w:rPr>
              <w:t>10</w:t>
            </w:r>
            <w:r>
              <w:rPr>
                <w:rFonts w:hint="eastAsia" w:ascii="Times New Roman" w:hAnsi="Times New Roman" w:cs="Times New Roman"/>
              </w:rPr>
              <w:t>、PM</w:t>
            </w:r>
            <w:r>
              <w:rPr>
                <w:rFonts w:hint="eastAsia" w:ascii="Times New Roman" w:hAnsi="Times New Roman" w:cs="Times New Roman"/>
                <w:vertAlign w:val="subscript"/>
              </w:rPr>
              <w:t>2.5</w:t>
            </w:r>
            <w:r>
              <w:rPr>
                <w:rFonts w:hint="eastAsia" w:ascii="Times New Roman" w:hAnsi="Times New Roman" w:cs="Times New Roman"/>
              </w:rPr>
              <w:t>、O</w:t>
            </w:r>
            <w:r>
              <w:rPr>
                <w:rFonts w:ascii="Times New Roman" w:hAnsi="Times New Roman" w:cs="Times New Roman"/>
                <w:vertAlign w:val="subscript"/>
              </w:rPr>
              <w:t>3</w:t>
            </w:r>
            <w:r>
              <w:rPr>
                <w:rFonts w:hint="eastAsia" w:ascii="Times New Roman" w:hAnsi="Times New Roman" w:cs="Times New Roman"/>
              </w:rPr>
              <w:t>、C</w:t>
            </w:r>
            <w:r>
              <w:rPr>
                <w:rFonts w:ascii="Times New Roman" w:hAnsi="Times New Roman" w:cs="Times New Roman"/>
              </w:rPr>
              <w:t>O执行《环境空气质量标准》（GB3095-2012）中二级标准；</w:t>
            </w:r>
            <w:r>
              <w:rPr>
                <w:rFonts w:hint="eastAsia" w:ascii="Times New Roman" w:hAnsi="Times New Roman" w:cs="Times New Roman"/>
              </w:rPr>
              <w:t>特征因子氨气、硫化氢执行《环境影响评价技术导则-大气环境》（HJ2.2-2018）附录D其他污染物空气质量浓度参考限值，其</w:t>
            </w:r>
            <w:r>
              <w:rPr>
                <w:rFonts w:ascii="Times New Roman" w:hAnsi="Times New Roman" w:cs="Times New Roman"/>
              </w:rPr>
              <w:t>相应的标准</w:t>
            </w:r>
            <w:r>
              <w:rPr>
                <w:rFonts w:hint="eastAsia" w:ascii="Times New Roman" w:hAnsi="Times New Roman" w:cs="Times New Roman"/>
              </w:rPr>
              <w:t>见表4-1。</w:t>
            </w:r>
          </w:p>
          <w:p>
            <w:pPr>
              <w:spacing w:line="360" w:lineRule="auto"/>
              <w:jc w:val="center"/>
              <w:rPr>
                <w:rFonts w:ascii="Times New Roman" w:hAnsi="Times New Roman" w:cs="Times New Roman"/>
                <w:b/>
                <w:bCs/>
              </w:rPr>
            </w:pPr>
            <w:r>
              <w:rPr>
                <w:rFonts w:ascii="Times New Roman" w:hAnsi="Times New Roman" w:cs="Times New Roman"/>
                <w:b/>
                <w:bCs/>
              </w:rPr>
              <w:t>表4-1  环境空气质量标准</w:t>
            </w:r>
            <w:r>
              <w:rPr>
                <w:rFonts w:hint="eastAsia" w:ascii="Times New Roman" w:hAnsi="Times New Roman" w:cs="Times New Roman"/>
                <w:b/>
                <w:bCs/>
              </w:rPr>
              <w:t xml:space="preserve"> </w:t>
            </w:r>
            <w:r>
              <w:rPr>
                <w:rFonts w:ascii="Times New Roman" w:hAnsi="Times New Roman" w:cs="Times New Roman"/>
                <w:b/>
                <w:bCs/>
              </w:rPr>
              <w:t xml:space="preserve">            </w:t>
            </w:r>
            <w:r>
              <w:rPr>
                <w:rFonts w:hint="eastAsia" w:ascii="Times New Roman" w:hAnsi="Times New Roman" w:cs="Times New Roman"/>
                <w:b/>
                <w:bCs/>
              </w:rPr>
              <w:t>单位：m</w:t>
            </w:r>
            <w:r>
              <w:rPr>
                <w:rFonts w:ascii="Times New Roman" w:hAnsi="Times New Roman" w:cs="Times New Roman"/>
                <w:b/>
                <w:bCs/>
              </w:rPr>
              <w:t>g/m</w:t>
            </w:r>
            <w:r>
              <w:rPr>
                <w:rFonts w:ascii="Times New Roman" w:hAnsi="Times New Roman" w:cs="Times New Roman"/>
                <w:b/>
                <w:bCs/>
                <w:vertAlign w:val="superscript"/>
              </w:rPr>
              <w:t>3</w:t>
            </w:r>
          </w:p>
          <w:tbl>
            <w:tblPr>
              <w:tblStyle w:val="23"/>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996"/>
              <w:gridCol w:w="730"/>
              <w:gridCol w:w="765"/>
              <w:gridCol w:w="851"/>
              <w:gridCol w:w="851"/>
              <w:gridCol w:w="1133"/>
              <w:gridCol w:w="851"/>
              <w:gridCol w:w="1277"/>
              <w:gridCol w:w="119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76"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污染物名称</w:t>
                  </w:r>
                </w:p>
              </w:tc>
              <w:tc>
                <w:tcPr>
                  <w:tcW w:w="422" w:type="pct"/>
                  <w:vAlign w:val="center"/>
                </w:tcPr>
                <w:p>
                  <w:pPr>
                    <w:pStyle w:val="2"/>
                    <w:spacing w:after="0" w:line="240" w:lineRule="auto"/>
                    <w:jc w:val="center"/>
                    <w:rPr>
                      <w:rFonts w:ascii="Times New Roman" w:hAnsi="Times New Roman" w:cs="Times New Roman"/>
                      <w:b/>
                      <w:bCs/>
                      <w:sz w:val="21"/>
                      <w:szCs w:val="21"/>
                    </w:rPr>
                  </w:pPr>
                  <w:r>
                    <w:rPr>
                      <w:rFonts w:ascii="Times New Roman" w:hAnsi="Times New Roman" w:cs="Times New Roman"/>
                      <w:b/>
                      <w:bCs/>
                      <w:sz w:val="21"/>
                      <w:szCs w:val="21"/>
                    </w:rPr>
                    <w:t>SO</w:t>
                  </w:r>
                  <w:r>
                    <w:rPr>
                      <w:rFonts w:ascii="Times New Roman" w:hAnsi="Times New Roman" w:cs="Times New Roman"/>
                      <w:b/>
                      <w:bCs/>
                      <w:sz w:val="21"/>
                      <w:szCs w:val="21"/>
                      <w:vertAlign w:val="subscript"/>
                    </w:rPr>
                    <w:t>2</w:t>
                  </w:r>
                </w:p>
              </w:tc>
              <w:tc>
                <w:tcPr>
                  <w:tcW w:w="442" w:type="pct"/>
                  <w:vAlign w:val="center"/>
                </w:tcPr>
                <w:p>
                  <w:pPr>
                    <w:pStyle w:val="2"/>
                    <w:spacing w:after="0" w:line="240" w:lineRule="auto"/>
                    <w:jc w:val="center"/>
                    <w:rPr>
                      <w:rFonts w:ascii="Times New Roman" w:hAnsi="Times New Roman" w:cs="Times New Roman"/>
                      <w:b/>
                      <w:bCs/>
                      <w:sz w:val="21"/>
                      <w:szCs w:val="21"/>
                    </w:rPr>
                  </w:pPr>
                  <w:r>
                    <w:rPr>
                      <w:rFonts w:ascii="Times New Roman" w:hAnsi="Times New Roman" w:cs="Times New Roman"/>
                      <w:b/>
                      <w:bCs/>
                      <w:sz w:val="21"/>
                      <w:szCs w:val="21"/>
                    </w:rPr>
                    <w:t>NO</w:t>
                  </w:r>
                  <w:r>
                    <w:rPr>
                      <w:rFonts w:ascii="Times New Roman" w:hAnsi="Times New Roman" w:cs="Times New Roman"/>
                      <w:b/>
                      <w:bCs/>
                      <w:sz w:val="21"/>
                      <w:szCs w:val="21"/>
                      <w:vertAlign w:val="subscript"/>
                    </w:rPr>
                    <w:t>2</w:t>
                  </w:r>
                </w:p>
              </w:tc>
              <w:tc>
                <w:tcPr>
                  <w:tcW w:w="492" w:type="pct"/>
                  <w:vAlign w:val="center"/>
                </w:tcPr>
                <w:p>
                  <w:pPr>
                    <w:pStyle w:val="2"/>
                    <w:spacing w:after="0" w:line="240" w:lineRule="auto"/>
                    <w:jc w:val="center"/>
                    <w:rPr>
                      <w:rFonts w:ascii="Times New Roman" w:hAnsi="Times New Roman" w:cs="Times New Roman"/>
                      <w:b/>
                      <w:bCs/>
                      <w:sz w:val="21"/>
                      <w:szCs w:val="21"/>
                    </w:rPr>
                  </w:pPr>
                  <w:r>
                    <w:rPr>
                      <w:rFonts w:ascii="Times New Roman" w:hAnsi="Times New Roman" w:cs="Times New Roman"/>
                      <w:b/>
                      <w:bCs/>
                      <w:sz w:val="21"/>
                      <w:szCs w:val="21"/>
                    </w:rPr>
                    <w:t>PM</w:t>
                  </w:r>
                  <w:r>
                    <w:rPr>
                      <w:rFonts w:ascii="Times New Roman" w:hAnsi="Times New Roman" w:cs="Times New Roman"/>
                      <w:b/>
                      <w:bCs/>
                      <w:sz w:val="21"/>
                      <w:szCs w:val="21"/>
                      <w:vertAlign w:val="subscript"/>
                    </w:rPr>
                    <w:t>10</w:t>
                  </w:r>
                </w:p>
              </w:tc>
              <w:tc>
                <w:tcPr>
                  <w:tcW w:w="492"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PM</w:t>
                  </w:r>
                  <w:r>
                    <w:rPr>
                      <w:rFonts w:hint="eastAsia" w:ascii="Times New Roman" w:hAnsi="Times New Roman" w:cs="Times New Roman"/>
                      <w:b/>
                      <w:bCs/>
                      <w:sz w:val="21"/>
                      <w:szCs w:val="21"/>
                      <w:vertAlign w:val="subscript"/>
                    </w:rPr>
                    <w:t>2.5</w:t>
                  </w:r>
                </w:p>
              </w:tc>
              <w:tc>
                <w:tcPr>
                  <w:tcW w:w="655"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O</w:t>
                  </w:r>
                  <w:r>
                    <w:rPr>
                      <w:rFonts w:hint="eastAsia" w:ascii="Times New Roman" w:hAnsi="Times New Roman" w:cs="Times New Roman"/>
                      <w:b/>
                      <w:bCs/>
                      <w:sz w:val="21"/>
                      <w:szCs w:val="21"/>
                      <w:vertAlign w:val="subscript"/>
                    </w:rPr>
                    <w:t>3</w:t>
                  </w:r>
                </w:p>
              </w:tc>
              <w:tc>
                <w:tcPr>
                  <w:tcW w:w="492"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CO</w:t>
                  </w:r>
                </w:p>
              </w:tc>
              <w:tc>
                <w:tcPr>
                  <w:tcW w:w="738"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NH</w:t>
                  </w:r>
                  <w:r>
                    <w:rPr>
                      <w:rFonts w:hint="eastAsia" w:ascii="Times New Roman" w:hAnsi="Times New Roman" w:cs="Times New Roman"/>
                      <w:b/>
                      <w:bCs/>
                      <w:sz w:val="21"/>
                      <w:szCs w:val="21"/>
                      <w:vertAlign w:val="subscript"/>
                    </w:rPr>
                    <w:t>3</w:t>
                  </w:r>
                </w:p>
              </w:tc>
              <w:tc>
                <w:tcPr>
                  <w:tcW w:w="691" w:type="pct"/>
                  <w:vAlign w:val="center"/>
                </w:tcPr>
                <w:p>
                  <w:pPr>
                    <w:pStyle w:val="2"/>
                    <w:spacing w:after="0"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H</w:t>
                  </w:r>
                  <w:r>
                    <w:rPr>
                      <w:rFonts w:hint="eastAsia" w:ascii="Times New Roman" w:hAnsi="Times New Roman" w:cs="Times New Roman"/>
                      <w:b/>
                      <w:bCs/>
                      <w:sz w:val="21"/>
                      <w:szCs w:val="21"/>
                      <w:vertAlign w:val="subscript"/>
                    </w:rPr>
                    <w:t>2</w:t>
                  </w:r>
                  <w:r>
                    <w:rPr>
                      <w:rFonts w:hint="eastAsia" w:ascii="Times New Roman" w:hAnsi="Times New Roman" w:cs="Times New Roman"/>
                      <w:b/>
                      <w:bCs/>
                      <w:sz w:val="21"/>
                      <w:szCs w:val="21"/>
                    </w:rPr>
                    <w:t>S</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76"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年平均</w:t>
                  </w:r>
                </w:p>
              </w:tc>
              <w:tc>
                <w:tcPr>
                  <w:tcW w:w="42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0.06</w:t>
                  </w:r>
                </w:p>
              </w:tc>
              <w:tc>
                <w:tcPr>
                  <w:tcW w:w="44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0.04</w:t>
                  </w:r>
                </w:p>
              </w:tc>
              <w:tc>
                <w:tcPr>
                  <w:tcW w:w="49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0.07</w:t>
                  </w:r>
                </w:p>
              </w:tc>
              <w:tc>
                <w:tcPr>
                  <w:tcW w:w="492"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0.035</w:t>
                  </w:r>
                </w:p>
              </w:tc>
              <w:tc>
                <w:tcPr>
                  <w:tcW w:w="655"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492"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738"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691"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76"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日平均</w:t>
                  </w:r>
                </w:p>
              </w:tc>
              <w:tc>
                <w:tcPr>
                  <w:tcW w:w="42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0.15</w:t>
                  </w:r>
                </w:p>
              </w:tc>
              <w:tc>
                <w:tcPr>
                  <w:tcW w:w="44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0.08</w:t>
                  </w:r>
                </w:p>
              </w:tc>
              <w:tc>
                <w:tcPr>
                  <w:tcW w:w="49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0.15</w:t>
                  </w:r>
                </w:p>
              </w:tc>
              <w:tc>
                <w:tcPr>
                  <w:tcW w:w="49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0.075</w:t>
                  </w:r>
                </w:p>
              </w:tc>
              <w:tc>
                <w:tcPr>
                  <w:tcW w:w="655"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0.16</w:t>
                  </w:r>
                  <w:r>
                    <w:rPr>
                      <w:rFonts w:hint="eastAsia" w:ascii="Times New Roman" w:hAnsi="Times New Roman" w:cs="Times New Roman"/>
                      <w:sz w:val="21"/>
                      <w:szCs w:val="21"/>
                    </w:rPr>
                    <w:t>（8h）</w:t>
                  </w:r>
                </w:p>
              </w:tc>
              <w:tc>
                <w:tcPr>
                  <w:tcW w:w="492" w:type="pct"/>
                  <w:vAlign w:val="center"/>
                </w:tcPr>
                <w:p>
                  <w:pPr>
                    <w:pStyle w:val="2"/>
                    <w:spacing w:after="0" w:line="240" w:lineRule="auto"/>
                    <w:jc w:val="center"/>
                    <w:rPr>
                      <w:rFonts w:ascii="Times New Roman" w:hAnsi="Times New Roman" w:cs="Times New Roman"/>
                      <w:sz w:val="21"/>
                      <w:szCs w:val="21"/>
                      <w:highlight w:val="yellow"/>
                    </w:rPr>
                  </w:pPr>
                  <w:r>
                    <w:rPr>
                      <w:rFonts w:ascii="Times New Roman" w:hAnsi="Times New Roman" w:cs="Times New Roman"/>
                      <w:sz w:val="21"/>
                      <w:szCs w:val="21"/>
                    </w:rPr>
                    <w:t>4</w:t>
                  </w:r>
                </w:p>
              </w:tc>
              <w:tc>
                <w:tcPr>
                  <w:tcW w:w="738"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691"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76"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小时平均</w:t>
                  </w:r>
                </w:p>
              </w:tc>
              <w:tc>
                <w:tcPr>
                  <w:tcW w:w="42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0.50</w:t>
                  </w:r>
                </w:p>
              </w:tc>
              <w:tc>
                <w:tcPr>
                  <w:tcW w:w="44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0.20</w:t>
                  </w:r>
                </w:p>
              </w:tc>
              <w:tc>
                <w:tcPr>
                  <w:tcW w:w="492"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492"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655" w:type="pct"/>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0.20</w:t>
                  </w:r>
                </w:p>
              </w:tc>
              <w:tc>
                <w:tcPr>
                  <w:tcW w:w="492" w:type="pct"/>
                  <w:vAlign w:val="center"/>
                </w:tcPr>
                <w:p>
                  <w:pPr>
                    <w:pStyle w:val="2"/>
                    <w:spacing w:after="0" w:line="240" w:lineRule="auto"/>
                    <w:jc w:val="center"/>
                    <w:rPr>
                      <w:rFonts w:ascii="Times New Roman" w:hAnsi="Times New Roman" w:cs="Times New Roman"/>
                      <w:sz w:val="21"/>
                      <w:szCs w:val="21"/>
                      <w:highlight w:val="yellow"/>
                    </w:rPr>
                  </w:pPr>
                  <w:r>
                    <w:rPr>
                      <w:rFonts w:hint="eastAsia" w:ascii="Times New Roman" w:hAnsi="Times New Roman" w:cs="Times New Roman"/>
                      <w:sz w:val="21"/>
                      <w:szCs w:val="21"/>
                    </w:rPr>
                    <w:t>1</w:t>
                  </w:r>
                  <w:r>
                    <w:rPr>
                      <w:rFonts w:ascii="Times New Roman" w:hAnsi="Times New Roman" w:cs="Times New Roman"/>
                      <w:sz w:val="21"/>
                      <w:szCs w:val="21"/>
                    </w:rPr>
                    <w:t>0</w:t>
                  </w:r>
                </w:p>
              </w:tc>
              <w:tc>
                <w:tcPr>
                  <w:tcW w:w="738"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0.2</w:t>
                  </w:r>
                </w:p>
              </w:tc>
              <w:tc>
                <w:tcPr>
                  <w:tcW w:w="691"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0.01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76" w:type="pct"/>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标准</w:t>
                  </w:r>
                </w:p>
              </w:tc>
              <w:tc>
                <w:tcPr>
                  <w:tcW w:w="2995" w:type="pct"/>
                  <w:gridSpan w:val="6"/>
                  <w:vAlign w:val="center"/>
                </w:tcPr>
                <w:p>
                  <w:pPr>
                    <w:pStyle w:val="2"/>
                    <w:spacing w:after="0" w:line="240" w:lineRule="auto"/>
                    <w:jc w:val="center"/>
                    <w:rPr>
                      <w:rFonts w:ascii="Times New Roman" w:hAnsi="Times New Roman" w:cs="Times New Roman"/>
                      <w:sz w:val="21"/>
                      <w:szCs w:val="21"/>
                    </w:rPr>
                  </w:pPr>
                  <w:r>
                    <w:rPr>
                      <w:rFonts w:ascii="Times New Roman" w:hAnsi="Times New Roman" w:cs="Times New Roman"/>
                      <w:sz w:val="21"/>
                      <w:szCs w:val="21"/>
                    </w:rPr>
                    <w:t>《环境空气质量标准》（GB3095-2012）</w:t>
                  </w:r>
                </w:p>
                <w:p>
                  <w:pPr>
                    <w:pStyle w:val="2"/>
                    <w:spacing w:after="0" w:line="240" w:lineRule="auto"/>
                    <w:jc w:val="center"/>
                    <w:rPr>
                      <w:rFonts w:ascii="Times New Roman" w:hAnsi="Times New Roman" w:cs="Times New Roman"/>
                      <w:sz w:val="21"/>
                      <w:szCs w:val="21"/>
                      <w:highlight w:val="yellow"/>
                    </w:rPr>
                  </w:pPr>
                  <w:r>
                    <w:rPr>
                      <w:rFonts w:ascii="Times New Roman" w:hAnsi="Times New Roman" w:cs="Times New Roman"/>
                      <w:sz w:val="21"/>
                      <w:szCs w:val="21"/>
                    </w:rPr>
                    <w:t>中的二级标准</w:t>
                  </w:r>
                </w:p>
              </w:tc>
              <w:tc>
                <w:tcPr>
                  <w:tcW w:w="1429" w:type="pct"/>
                  <w:gridSpan w:val="2"/>
                  <w:vAlign w:val="center"/>
                </w:tcPr>
                <w:p>
                  <w:pPr>
                    <w:pStyle w:val="2"/>
                    <w:spacing w:after="0" w:line="240" w:lineRule="auto"/>
                    <w:jc w:val="center"/>
                    <w:rPr>
                      <w:rFonts w:ascii="Times New Roman" w:hAnsi="Times New Roman" w:cs="Times New Roman"/>
                      <w:sz w:val="21"/>
                      <w:szCs w:val="21"/>
                    </w:rPr>
                  </w:pPr>
                  <w:r>
                    <w:rPr>
                      <w:rFonts w:hint="eastAsia" w:ascii="Times New Roman" w:hAnsi="Times New Roman" w:cs="Times New Roman"/>
                      <w:sz w:val="21"/>
                      <w:szCs w:val="21"/>
                    </w:rPr>
                    <w:t>《环境影响评价技术导则-大气环境》（HJ2.2-2018）附录D</w:t>
                  </w:r>
                </w:p>
              </w:tc>
            </w:tr>
          </w:tbl>
          <w:p>
            <w:pPr>
              <w:pStyle w:val="5"/>
              <w:numPr>
                <w:ilvl w:val="0"/>
                <w:numId w:val="5"/>
              </w:numPr>
              <w:ind w:firstLine="562"/>
              <w:outlineLvl w:val="1"/>
              <w:rPr>
                <w:rFonts w:cs="Times New Roman"/>
              </w:rPr>
            </w:pPr>
            <w:bookmarkStart w:id="28" w:name="_Toc34059500"/>
            <w:r>
              <w:rPr>
                <w:rFonts w:cs="Times New Roman"/>
              </w:rPr>
              <w:t>地表水环境质量</w:t>
            </w:r>
            <w:r>
              <w:rPr>
                <w:rFonts w:hint="eastAsia" w:cs="Times New Roman"/>
              </w:rPr>
              <w:t>标准</w:t>
            </w:r>
            <w:bookmarkEnd w:id="28"/>
          </w:p>
          <w:p>
            <w:pPr>
              <w:ind w:firstLine="480" w:firstLineChars="200"/>
              <w:rPr>
                <w:rFonts w:ascii="Times New Roman" w:hAnsi="Times New Roman" w:cs="Times New Roman"/>
              </w:rPr>
            </w:pPr>
            <w:r>
              <w:rPr>
                <w:rFonts w:ascii="Times New Roman" w:hAnsi="Times New Roman" w:cs="Times New Roman"/>
              </w:rPr>
              <w:t>项目纳污水体为南湖</w:t>
            </w:r>
            <w:r>
              <w:rPr>
                <w:rFonts w:hint="eastAsia" w:ascii="Times New Roman" w:hAnsi="Times New Roman" w:cs="Times New Roman"/>
              </w:rPr>
              <w:t>和北港河</w:t>
            </w:r>
            <w:r>
              <w:rPr>
                <w:rFonts w:ascii="Times New Roman" w:hAnsi="Times New Roman" w:cs="Times New Roman"/>
              </w:rPr>
              <w:t>，水质均执行《地表水环境质量标准》（GB3838-2002）Ⅲ类标准。</w:t>
            </w:r>
          </w:p>
          <w:p>
            <w:pPr>
              <w:spacing w:line="360" w:lineRule="auto"/>
              <w:jc w:val="center"/>
              <w:rPr>
                <w:rFonts w:ascii="Times New Roman" w:hAnsi="Times New Roman" w:cs="Times New Roman"/>
                <w:b/>
                <w:bCs/>
              </w:rPr>
            </w:pPr>
            <w:r>
              <w:rPr>
                <w:rFonts w:ascii="Times New Roman" w:hAnsi="Times New Roman" w:cs="Times New Roman"/>
                <w:b/>
                <w:bCs/>
              </w:rPr>
              <w:t>表4-2  地表水质量评价标准   单位：mg/L，除pH外</w:t>
            </w:r>
          </w:p>
          <w:tbl>
            <w:tblPr>
              <w:tblStyle w:val="23"/>
              <w:tblW w:w="8650" w:type="dxa"/>
              <w:jc w:val="center"/>
              <w:tblBorders>
                <w:top w:val="single" w:color="000000" w:sz="12" w:space="0"/>
                <w:left w:val="none" w:color="auto" w:sz="0" w:space="0"/>
                <w:bottom w:val="single" w:color="000000" w:sz="12" w:space="0"/>
                <w:right w:val="none" w:color="auto" w:sz="0" w:space="0"/>
                <w:insideH w:val="single" w:color="000000" w:sz="12" w:space="0"/>
                <w:insideV w:val="single" w:color="000000" w:sz="2" w:space="0"/>
              </w:tblBorders>
              <w:tblLayout w:type="autofit"/>
              <w:tblCellMar>
                <w:top w:w="0" w:type="dxa"/>
                <w:left w:w="0" w:type="dxa"/>
                <w:bottom w:w="0" w:type="dxa"/>
                <w:right w:w="0" w:type="dxa"/>
              </w:tblCellMar>
            </w:tblPr>
            <w:tblGrid>
              <w:gridCol w:w="961"/>
              <w:gridCol w:w="767"/>
              <w:gridCol w:w="837"/>
              <w:gridCol w:w="842"/>
              <w:gridCol w:w="1029"/>
              <w:gridCol w:w="859"/>
              <w:gridCol w:w="898"/>
              <w:gridCol w:w="734"/>
              <w:gridCol w:w="1723"/>
            </w:tblGrid>
            <w:tr>
              <w:tblPrEx>
                <w:tblBorders>
                  <w:top w:val="single" w:color="000000" w:sz="12" w:space="0"/>
                  <w:left w:val="none" w:color="auto" w:sz="0" w:space="0"/>
                  <w:bottom w:val="single" w:color="000000" w:sz="12" w:space="0"/>
                  <w:right w:val="none" w:color="auto" w:sz="0" w:space="0"/>
                  <w:insideH w:val="single" w:color="000000" w:sz="12" w:space="0"/>
                  <w:insideV w:val="single" w:color="000000" w:sz="2" w:space="0"/>
                </w:tblBorders>
                <w:tblCellMar>
                  <w:top w:w="0" w:type="dxa"/>
                  <w:left w:w="0" w:type="dxa"/>
                  <w:bottom w:w="0" w:type="dxa"/>
                  <w:right w:w="0" w:type="dxa"/>
                </w:tblCellMar>
              </w:tblPrEx>
              <w:trPr>
                <w:trHeight w:val="397" w:hRule="atLeast"/>
                <w:jc w:val="center"/>
              </w:trPr>
              <w:tc>
                <w:tcPr>
                  <w:tcW w:w="961" w:type="dxa"/>
                  <w:tcBorders>
                    <w:tl2br w:val="nil"/>
                    <w:tr2bl w:val="nil"/>
                  </w:tcBorders>
                  <w:tcMar>
                    <w:top w:w="15" w:type="dxa"/>
                    <w:left w:w="15" w:type="dxa"/>
                    <w:bottom w:w="0" w:type="dxa"/>
                    <w:right w:w="15" w:type="dxa"/>
                  </w:tcMar>
                  <w:vAlign w:val="center"/>
                </w:tcPr>
                <w:p>
                  <w:pPr>
                    <w:autoSpaceDE w:val="0"/>
                    <w:autoSpaceDN w:val="0"/>
                    <w:adjustRightInd w:val="0"/>
                    <w:spacing w:line="240" w:lineRule="auto"/>
                    <w:jc w:val="center"/>
                    <w:rPr>
                      <w:rFonts w:ascii="Times New Roman" w:hAnsi="Times New Roman" w:cs="Times New Roman"/>
                      <w:b/>
                      <w:bCs/>
                      <w:kern w:val="24"/>
                      <w:sz w:val="21"/>
                      <w:szCs w:val="21"/>
                    </w:rPr>
                  </w:pPr>
                  <w:r>
                    <w:rPr>
                      <w:rFonts w:ascii="Times New Roman" w:hAnsi="Times New Roman" w:cs="Times New Roman"/>
                      <w:b/>
                      <w:bCs/>
                      <w:kern w:val="24"/>
                      <w:sz w:val="21"/>
                      <w:szCs w:val="21"/>
                    </w:rPr>
                    <w:t>项目</w:t>
                  </w:r>
                </w:p>
              </w:tc>
              <w:tc>
                <w:tcPr>
                  <w:tcW w:w="767" w:type="dxa"/>
                  <w:tcBorders>
                    <w:tl2br w:val="nil"/>
                    <w:tr2bl w:val="nil"/>
                  </w:tcBorders>
                  <w:vAlign w:val="center"/>
                </w:tcPr>
                <w:p>
                  <w:pPr>
                    <w:autoSpaceDE w:val="0"/>
                    <w:autoSpaceDN w:val="0"/>
                    <w:adjustRightInd w:val="0"/>
                    <w:spacing w:line="240" w:lineRule="auto"/>
                    <w:jc w:val="center"/>
                    <w:rPr>
                      <w:rFonts w:ascii="Times New Roman" w:hAnsi="Times New Roman" w:cs="Times New Roman"/>
                      <w:b/>
                      <w:bCs/>
                      <w:kern w:val="24"/>
                      <w:sz w:val="21"/>
                      <w:szCs w:val="21"/>
                    </w:rPr>
                  </w:pPr>
                  <w:r>
                    <w:rPr>
                      <w:rFonts w:ascii="Times New Roman" w:hAnsi="Times New Roman" w:cs="Times New Roman"/>
                      <w:b/>
                      <w:bCs/>
                      <w:kern w:val="24"/>
                      <w:sz w:val="21"/>
                      <w:szCs w:val="21"/>
                    </w:rPr>
                    <w:t>类别</w:t>
                  </w:r>
                </w:p>
              </w:tc>
              <w:tc>
                <w:tcPr>
                  <w:tcW w:w="837"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pH</w:t>
                  </w:r>
                </w:p>
              </w:tc>
              <w:tc>
                <w:tcPr>
                  <w:tcW w:w="842"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COD</w:t>
                  </w:r>
                </w:p>
              </w:tc>
              <w:tc>
                <w:tcPr>
                  <w:tcW w:w="1029"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BOD</w:t>
                  </w:r>
                  <w:r>
                    <w:rPr>
                      <w:rFonts w:ascii="Times New Roman" w:hAnsi="Times New Roman" w:cs="Times New Roman"/>
                      <w:kern w:val="24"/>
                      <w:sz w:val="21"/>
                      <w:szCs w:val="21"/>
                      <w:vertAlign w:val="subscript"/>
                    </w:rPr>
                    <w:t>5</w:t>
                  </w:r>
                </w:p>
              </w:tc>
              <w:tc>
                <w:tcPr>
                  <w:tcW w:w="859" w:type="dxa"/>
                  <w:tcBorders>
                    <w:tl2br w:val="nil"/>
                    <w:tr2bl w:val="nil"/>
                  </w:tcBorders>
                  <w:vAlign w:val="center"/>
                </w:tcPr>
                <w:p>
                  <w:pPr>
                    <w:spacing w:line="240" w:lineRule="auto"/>
                    <w:jc w:val="center"/>
                    <w:rPr>
                      <w:rFonts w:ascii="Times New Roman" w:hAnsi="Times New Roman" w:cs="Times New Roman"/>
                      <w:kern w:val="24"/>
                      <w:sz w:val="21"/>
                      <w:szCs w:val="21"/>
                    </w:rPr>
                  </w:pPr>
                  <w:r>
                    <w:rPr>
                      <w:rFonts w:ascii="Times New Roman" w:hAnsi="Times New Roman" w:cs="Times New Roman"/>
                      <w:sz w:val="21"/>
                      <w:szCs w:val="21"/>
                    </w:rPr>
                    <w:t>NH</w:t>
                  </w:r>
                  <w:r>
                    <w:rPr>
                      <w:rFonts w:ascii="Times New Roman" w:hAnsi="Times New Roman" w:cs="Times New Roman"/>
                      <w:sz w:val="21"/>
                      <w:szCs w:val="21"/>
                      <w:vertAlign w:val="subscript"/>
                    </w:rPr>
                    <w:t>3</w:t>
                  </w:r>
                  <w:r>
                    <w:rPr>
                      <w:rFonts w:ascii="Times New Roman" w:hAnsi="Times New Roman" w:cs="Times New Roman"/>
                      <w:sz w:val="21"/>
                      <w:szCs w:val="21"/>
                    </w:rPr>
                    <w:t>-N</w:t>
                  </w:r>
                </w:p>
              </w:tc>
              <w:tc>
                <w:tcPr>
                  <w:tcW w:w="898" w:type="dxa"/>
                  <w:tcBorders>
                    <w:tl2br w:val="nil"/>
                    <w:tr2bl w:val="nil"/>
                  </w:tcBorders>
                  <w:vAlign w:val="center"/>
                </w:tcPr>
                <w:p>
                  <w:pPr>
                    <w:widowControl/>
                    <w:spacing w:line="240" w:lineRule="auto"/>
                    <w:jc w:val="center"/>
                    <w:rPr>
                      <w:rFonts w:ascii="Times New Roman" w:hAnsi="Times New Roman" w:cs="Times New Roman"/>
                      <w:kern w:val="24"/>
                      <w:sz w:val="21"/>
                      <w:szCs w:val="21"/>
                    </w:rPr>
                  </w:pPr>
                  <w:r>
                    <w:rPr>
                      <w:rFonts w:ascii="Times New Roman" w:hAnsi="Times New Roman" w:cs="Times New Roman"/>
                      <w:kern w:val="0"/>
                      <w:sz w:val="21"/>
                      <w:szCs w:val="21"/>
                    </w:rPr>
                    <w:t>TP</w:t>
                  </w:r>
                </w:p>
              </w:tc>
              <w:tc>
                <w:tcPr>
                  <w:tcW w:w="734" w:type="dxa"/>
                  <w:tcBorders>
                    <w:tl2br w:val="nil"/>
                    <w:tr2bl w:val="nil"/>
                  </w:tcBorders>
                  <w:vAlign w:val="center"/>
                </w:tcPr>
                <w:p>
                  <w:pPr>
                    <w:widowControl/>
                    <w:spacing w:line="240" w:lineRule="auto"/>
                    <w:jc w:val="center"/>
                    <w:rPr>
                      <w:rFonts w:ascii="Times New Roman" w:hAnsi="Times New Roman" w:cs="Times New Roman"/>
                      <w:kern w:val="24"/>
                      <w:sz w:val="21"/>
                      <w:szCs w:val="21"/>
                    </w:rPr>
                  </w:pPr>
                  <w:r>
                    <w:rPr>
                      <w:rFonts w:ascii="Times New Roman" w:hAnsi="Times New Roman" w:cs="Times New Roman"/>
                      <w:kern w:val="0"/>
                      <w:sz w:val="21"/>
                      <w:szCs w:val="21"/>
                    </w:rPr>
                    <w:t>TN</w:t>
                  </w:r>
                </w:p>
              </w:tc>
              <w:tc>
                <w:tcPr>
                  <w:tcW w:w="1723" w:type="dxa"/>
                  <w:tcBorders>
                    <w:tl2br w:val="nil"/>
                    <w:tr2bl w:val="nil"/>
                  </w:tcBorders>
                  <w:vAlign w:val="center"/>
                </w:tcPr>
                <w:p>
                  <w:pPr>
                    <w:autoSpaceDE w:val="0"/>
                    <w:autoSpaceDN w:val="0"/>
                    <w:adjustRightInd w:val="0"/>
                    <w:spacing w:line="240" w:lineRule="auto"/>
                    <w:jc w:val="center"/>
                    <w:rPr>
                      <w:rFonts w:ascii="Times New Roman" w:hAnsi="Times New Roman" w:eastAsia="宋体" w:cs="Times New Roman"/>
                      <w:kern w:val="24"/>
                      <w:sz w:val="21"/>
                      <w:szCs w:val="21"/>
                    </w:rPr>
                  </w:pPr>
                  <w:r>
                    <w:rPr>
                      <w:rFonts w:ascii="Times New Roman" w:hAnsi="Times New Roman" w:cs="Times New Roman"/>
                      <w:kern w:val="24"/>
                      <w:sz w:val="21"/>
                      <w:szCs w:val="21"/>
                    </w:rPr>
                    <w:t>粪大肠菌群（个/L）</w:t>
                  </w:r>
                </w:p>
              </w:tc>
            </w:tr>
            <w:tr>
              <w:tblPrEx>
                <w:tblBorders>
                  <w:top w:val="single" w:color="000000" w:sz="12" w:space="0"/>
                  <w:left w:val="none" w:color="auto" w:sz="0" w:space="0"/>
                  <w:bottom w:val="single" w:color="000000" w:sz="12" w:space="0"/>
                  <w:right w:val="none" w:color="auto" w:sz="0" w:space="0"/>
                  <w:insideH w:val="single" w:color="000000" w:sz="12" w:space="0"/>
                  <w:insideV w:val="single" w:color="000000" w:sz="2" w:space="0"/>
                </w:tblBorders>
                <w:tblCellMar>
                  <w:top w:w="0" w:type="dxa"/>
                  <w:left w:w="0" w:type="dxa"/>
                  <w:bottom w:w="0" w:type="dxa"/>
                  <w:right w:w="0" w:type="dxa"/>
                </w:tblCellMar>
              </w:tblPrEx>
              <w:trPr>
                <w:trHeight w:val="397" w:hRule="atLeast"/>
                <w:jc w:val="center"/>
              </w:trPr>
              <w:tc>
                <w:tcPr>
                  <w:tcW w:w="961" w:type="dxa"/>
                  <w:tcBorders>
                    <w:tl2br w:val="nil"/>
                    <w:tr2bl w:val="nil"/>
                  </w:tcBorders>
                  <w:tcMar>
                    <w:top w:w="15" w:type="dxa"/>
                    <w:left w:w="15" w:type="dxa"/>
                    <w:bottom w:w="0" w:type="dxa"/>
                    <w:right w:w="15" w:type="dxa"/>
                  </w:tcMar>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标准值</w:t>
                  </w:r>
                </w:p>
              </w:tc>
              <w:tc>
                <w:tcPr>
                  <w:tcW w:w="767"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sz w:val="21"/>
                      <w:szCs w:val="21"/>
                    </w:rPr>
                    <w:t>Ⅲ</w:t>
                  </w:r>
                </w:p>
              </w:tc>
              <w:tc>
                <w:tcPr>
                  <w:tcW w:w="837"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6～9</w:t>
                  </w:r>
                </w:p>
              </w:tc>
              <w:tc>
                <w:tcPr>
                  <w:tcW w:w="842"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≤20</w:t>
                  </w:r>
                </w:p>
              </w:tc>
              <w:tc>
                <w:tcPr>
                  <w:tcW w:w="1029"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≤4</w:t>
                  </w:r>
                </w:p>
              </w:tc>
              <w:tc>
                <w:tcPr>
                  <w:tcW w:w="859"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≤1.0</w:t>
                  </w:r>
                </w:p>
              </w:tc>
              <w:tc>
                <w:tcPr>
                  <w:tcW w:w="898"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≤0.05</w:t>
                  </w:r>
                </w:p>
              </w:tc>
              <w:tc>
                <w:tcPr>
                  <w:tcW w:w="734"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≤1.0</w:t>
                  </w:r>
                </w:p>
              </w:tc>
              <w:tc>
                <w:tcPr>
                  <w:tcW w:w="1723" w:type="dxa"/>
                  <w:tcBorders>
                    <w:tl2br w:val="nil"/>
                    <w:tr2bl w:val="nil"/>
                  </w:tcBorders>
                  <w:vAlign w:val="center"/>
                </w:tcPr>
                <w:p>
                  <w:pPr>
                    <w:autoSpaceDE w:val="0"/>
                    <w:autoSpaceDN w:val="0"/>
                    <w:adjustRightInd w:val="0"/>
                    <w:spacing w:line="240" w:lineRule="auto"/>
                    <w:jc w:val="center"/>
                    <w:rPr>
                      <w:rFonts w:ascii="Times New Roman" w:hAnsi="Times New Roman" w:cs="Times New Roman"/>
                      <w:kern w:val="24"/>
                      <w:sz w:val="21"/>
                      <w:szCs w:val="21"/>
                    </w:rPr>
                  </w:pPr>
                  <w:r>
                    <w:rPr>
                      <w:rFonts w:ascii="Times New Roman" w:hAnsi="Times New Roman" w:cs="Times New Roman"/>
                      <w:kern w:val="24"/>
                      <w:sz w:val="21"/>
                      <w:szCs w:val="21"/>
                    </w:rPr>
                    <w:t>≤10000</w:t>
                  </w:r>
                </w:p>
              </w:tc>
            </w:tr>
          </w:tbl>
          <w:p>
            <w:pPr>
              <w:pStyle w:val="5"/>
              <w:ind w:firstLine="562"/>
              <w:outlineLvl w:val="1"/>
              <w:rPr>
                <w:rFonts w:cs="Times New Roman"/>
              </w:rPr>
            </w:pPr>
            <w:bookmarkStart w:id="29" w:name="_Toc34059501"/>
            <w:r>
              <w:rPr>
                <w:rFonts w:cs="Times New Roman"/>
              </w:rPr>
              <w:t>3、声环境质量</w:t>
            </w:r>
            <w:r>
              <w:rPr>
                <w:rFonts w:hint="eastAsia" w:cs="Times New Roman"/>
              </w:rPr>
              <w:t>标准</w:t>
            </w:r>
            <w:bookmarkEnd w:id="29"/>
          </w:p>
          <w:p>
            <w:pPr>
              <w:ind w:firstLine="480" w:firstLineChars="200"/>
              <w:rPr>
                <w:rFonts w:ascii="Times New Roman" w:hAnsi="Times New Roman" w:cs="Times New Roman"/>
              </w:rPr>
            </w:pPr>
            <w:r>
              <w:rPr>
                <w:rFonts w:ascii="Times New Roman" w:hAnsi="Times New Roman" w:cs="Times New Roman"/>
              </w:rPr>
              <w:t>项目所在地执行《声环境质量标准》（GB3096-2008）</w:t>
            </w:r>
            <w:r>
              <w:rPr>
                <w:rFonts w:hint="eastAsia" w:ascii="Times New Roman" w:hAnsi="Times New Roman" w:cs="Times New Roman"/>
              </w:rPr>
              <w:t>2</w:t>
            </w:r>
            <w:r>
              <w:rPr>
                <w:rFonts w:ascii="Times New Roman" w:hAnsi="Times New Roman" w:cs="Times New Roman"/>
              </w:rPr>
              <w:t>类标准，执行标准值见表4-3。</w:t>
            </w:r>
          </w:p>
          <w:p>
            <w:pPr>
              <w:spacing w:line="360" w:lineRule="auto"/>
              <w:jc w:val="center"/>
              <w:rPr>
                <w:rFonts w:ascii="Times New Roman" w:hAnsi="Times New Roman" w:cs="Times New Roman"/>
                <w:b/>
                <w:bCs/>
              </w:rPr>
            </w:pPr>
            <w:r>
              <w:rPr>
                <w:rFonts w:ascii="Times New Roman" w:hAnsi="Times New Roman" w:cs="Times New Roman"/>
                <w:b/>
                <w:bCs/>
              </w:rPr>
              <w:t>表4-3  声环境质量标准限值</w:t>
            </w:r>
          </w:p>
          <w:tbl>
            <w:tblPr>
              <w:tblStyle w:val="23"/>
              <w:tblW w:w="8640" w:type="dxa"/>
              <w:jc w:val="center"/>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Layout w:type="autofit"/>
              <w:tblCellMar>
                <w:top w:w="0" w:type="dxa"/>
                <w:left w:w="108" w:type="dxa"/>
                <w:bottom w:w="0" w:type="dxa"/>
                <w:right w:w="108" w:type="dxa"/>
              </w:tblCellMar>
            </w:tblPr>
            <w:tblGrid>
              <w:gridCol w:w="3312"/>
              <w:gridCol w:w="2298"/>
              <w:gridCol w:w="1354"/>
              <w:gridCol w:w="1676"/>
            </w:tblGrid>
            <w:tr>
              <w:tblPrEx>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CellMar>
                  <w:top w:w="0" w:type="dxa"/>
                  <w:left w:w="108" w:type="dxa"/>
                  <w:bottom w:w="0" w:type="dxa"/>
                  <w:right w:w="108" w:type="dxa"/>
                </w:tblCellMar>
              </w:tblPrEx>
              <w:trPr>
                <w:trHeight w:val="397" w:hRule="atLeast"/>
                <w:jc w:val="center"/>
              </w:trPr>
              <w:tc>
                <w:tcPr>
                  <w:tcW w:w="3312" w:type="dxa"/>
                  <w:tcBorders>
                    <w:tl2br w:val="nil"/>
                    <w:tr2bl w:val="nil"/>
                  </w:tcBorders>
                  <w:vAlign w:val="center"/>
                </w:tcPr>
                <w:p>
                  <w:pPr>
                    <w:widowControl/>
                    <w:spacing w:line="240" w:lineRule="auto"/>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类别</w:t>
                  </w:r>
                </w:p>
              </w:tc>
              <w:tc>
                <w:tcPr>
                  <w:tcW w:w="2298" w:type="dxa"/>
                  <w:tcBorders>
                    <w:tl2br w:val="nil"/>
                    <w:tr2bl w:val="nil"/>
                  </w:tcBorders>
                  <w:vAlign w:val="center"/>
                </w:tcPr>
                <w:p>
                  <w:pPr>
                    <w:widowControl/>
                    <w:spacing w:line="240" w:lineRule="auto"/>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等效声级Leq</w:t>
                  </w:r>
                </w:p>
              </w:tc>
              <w:tc>
                <w:tcPr>
                  <w:tcW w:w="1354" w:type="dxa"/>
                  <w:tcBorders>
                    <w:tl2br w:val="nil"/>
                    <w:tr2bl w:val="nil"/>
                  </w:tcBorders>
                  <w:vAlign w:val="center"/>
                </w:tcPr>
                <w:p>
                  <w:pPr>
                    <w:widowControl/>
                    <w:spacing w:line="240" w:lineRule="auto"/>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昼间</w:t>
                  </w:r>
                </w:p>
              </w:tc>
              <w:tc>
                <w:tcPr>
                  <w:tcW w:w="1676" w:type="dxa"/>
                  <w:tcBorders>
                    <w:tl2br w:val="nil"/>
                    <w:tr2bl w:val="nil"/>
                  </w:tcBorders>
                  <w:vAlign w:val="center"/>
                </w:tcPr>
                <w:p>
                  <w:pPr>
                    <w:widowControl/>
                    <w:spacing w:line="240" w:lineRule="auto"/>
                    <w:jc w:val="center"/>
                    <w:rPr>
                      <w:rFonts w:ascii="Times New Roman" w:hAnsi="Times New Roman" w:eastAsia="宋体" w:cs="Times New Roman"/>
                      <w:b/>
                      <w:bCs/>
                      <w:color w:val="000000"/>
                      <w:kern w:val="0"/>
                      <w:sz w:val="21"/>
                      <w:szCs w:val="21"/>
                    </w:rPr>
                  </w:pPr>
                  <w:r>
                    <w:rPr>
                      <w:rFonts w:ascii="Times New Roman" w:hAnsi="Times New Roman" w:eastAsia="宋体" w:cs="Times New Roman"/>
                      <w:b/>
                      <w:bCs/>
                      <w:color w:val="000000"/>
                      <w:kern w:val="0"/>
                      <w:sz w:val="21"/>
                      <w:szCs w:val="21"/>
                    </w:rPr>
                    <w:t>夜间</w:t>
                  </w:r>
                </w:p>
              </w:tc>
            </w:tr>
            <w:tr>
              <w:tblPrEx>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CellMar>
                  <w:top w:w="0" w:type="dxa"/>
                  <w:left w:w="108" w:type="dxa"/>
                  <w:bottom w:w="0" w:type="dxa"/>
                  <w:right w:w="108" w:type="dxa"/>
                </w:tblCellMar>
              </w:tblPrEx>
              <w:trPr>
                <w:trHeight w:val="397" w:hRule="atLeast"/>
                <w:jc w:val="center"/>
              </w:trPr>
              <w:tc>
                <w:tcPr>
                  <w:tcW w:w="3312"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《声环境质量标准》</w:t>
                  </w:r>
                  <w:r>
                    <w:rPr>
                      <w:rFonts w:hint="eastAsia" w:ascii="Times New Roman" w:hAnsi="Times New Roman" w:cs="Times New Roman"/>
                      <w:color w:val="000000"/>
                      <w:kern w:val="0"/>
                      <w:sz w:val="21"/>
                      <w:szCs w:val="21"/>
                    </w:rPr>
                    <w:t>2</w:t>
                  </w:r>
                  <w:r>
                    <w:rPr>
                      <w:rFonts w:ascii="Times New Roman" w:hAnsi="Times New Roman" w:eastAsia="宋体" w:cs="Times New Roman"/>
                      <w:color w:val="000000"/>
                      <w:kern w:val="0"/>
                      <w:sz w:val="21"/>
                      <w:szCs w:val="21"/>
                    </w:rPr>
                    <w:t>类</w:t>
                  </w:r>
                </w:p>
              </w:tc>
              <w:tc>
                <w:tcPr>
                  <w:tcW w:w="2298"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dB（A）</w:t>
                  </w:r>
                </w:p>
              </w:tc>
              <w:tc>
                <w:tcPr>
                  <w:tcW w:w="1354"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6</w:t>
                  </w:r>
                  <w:r>
                    <w:rPr>
                      <w:rFonts w:hint="eastAsia" w:ascii="Times New Roman" w:hAnsi="Times New Roman" w:cs="Times New Roman"/>
                      <w:color w:val="000000"/>
                      <w:kern w:val="0"/>
                      <w:sz w:val="21"/>
                      <w:szCs w:val="21"/>
                    </w:rPr>
                    <w:t>0</w:t>
                  </w:r>
                </w:p>
              </w:tc>
              <w:tc>
                <w:tcPr>
                  <w:tcW w:w="1676"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5</w:t>
                  </w:r>
                  <w:r>
                    <w:rPr>
                      <w:rFonts w:hint="eastAsia" w:ascii="Times New Roman" w:hAnsi="Times New Roman" w:cs="Times New Roman"/>
                      <w:color w:val="000000"/>
                      <w:kern w:val="0"/>
                      <w:sz w:val="21"/>
                      <w:szCs w:val="21"/>
                    </w:rPr>
                    <w:t>0</w:t>
                  </w:r>
                </w:p>
              </w:tc>
            </w:tr>
          </w:tbl>
          <w:p>
            <w:pPr>
              <w:pStyle w:val="2"/>
              <w:rPr>
                <w:rFonts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污染物排放标准</w:t>
            </w:r>
          </w:p>
        </w:tc>
        <w:tc>
          <w:tcPr>
            <w:tcW w:w="8866" w:type="dxa"/>
            <w:tcBorders>
              <w:tl2br w:val="nil"/>
              <w:tr2bl w:val="nil"/>
            </w:tcBorders>
          </w:tcPr>
          <w:p>
            <w:pPr>
              <w:pStyle w:val="5"/>
              <w:numPr>
                <w:ilvl w:val="0"/>
                <w:numId w:val="6"/>
              </w:numPr>
              <w:ind w:firstLine="562"/>
              <w:outlineLvl w:val="1"/>
              <w:rPr>
                <w:rFonts w:cs="Times New Roman"/>
              </w:rPr>
            </w:pPr>
            <w:bookmarkStart w:id="30" w:name="_Toc34059502"/>
            <w:r>
              <w:rPr>
                <w:rFonts w:cs="Times New Roman"/>
              </w:rPr>
              <w:t>废水</w:t>
            </w:r>
            <w:bookmarkEnd w:id="30"/>
          </w:p>
          <w:p>
            <w:pPr>
              <w:ind w:firstLine="482" w:firstLineChars="200"/>
              <w:rPr>
                <w:rFonts w:ascii="Times New Roman" w:hAnsi="Times New Roman" w:cs="Times New Roman"/>
                <w:b/>
                <w:bCs/>
              </w:rPr>
            </w:pPr>
            <w:r>
              <w:rPr>
                <w:rFonts w:ascii="Times New Roman" w:hAnsi="Times New Roman" w:cs="Times New Roman"/>
                <w:b/>
                <w:bCs/>
              </w:rPr>
              <w:t>施工期</w:t>
            </w:r>
            <w:r>
              <w:rPr>
                <w:rFonts w:hint="eastAsia" w:ascii="Times New Roman" w:hAnsi="Times New Roman" w:cs="Times New Roman"/>
                <w:b/>
                <w:bCs/>
              </w:rPr>
              <w:t>：</w:t>
            </w:r>
          </w:p>
          <w:p>
            <w:pPr>
              <w:ind w:firstLine="480" w:firstLineChars="200"/>
              <w:rPr>
                <w:rFonts w:ascii="Times New Roman" w:hAnsi="Times New Roman" w:cs="Times New Roman"/>
              </w:rPr>
            </w:pPr>
            <w:r>
              <w:rPr>
                <w:rFonts w:hint="eastAsia" w:ascii="Times New Roman" w:hAnsi="Times New Roman" w:cs="Times New Roman"/>
              </w:rPr>
              <w:t>施工期</w:t>
            </w:r>
            <w:r>
              <w:rPr>
                <w:rFonts w:ascii="Times New Roman" w:hAnsi="Times New Roman" w:cs="Times New Roman"/>
              </w:rPr>
              <w:t>产生的废水主要是施工场地内施工人员的生活污水及场地内少量的施工废水，施工废水回用于场地洒水、抑尘，施工人员生活废水</w:t>
            </w:r>
            <w:r>
              <w:rPr>
                <w:rFonts w:hint="eastAsia" w:ascii="Times New Roman" w:hAnsi="Times New Roman" w:cs="Times New Roman"/>
              </w:rPr>
              <w:t>经临时化粪池处理后由市政单位外运。</w:t>
            </w:r>
          </w:p>
          <w:p>
            <w:pPr>
              <w:spacing w:line="360" w:lineRule="auto"/>
              <w:ind w:firstLine="482" w:firstLineChars="200"/>
              <w:rPr>
                <w:rFonts w:ascii="Times New Roman" w:hAnsi="Times New Roman" w:eastAsia="宋体"/>
              </w:rPr>
            </w:pPr>
            <w:r>
              <w:rPr>
                <w:rFonts w:hint="eastAsia" w:ascii="Times New Roman" w:hAnsi="Times New Roman" w:eastAsia="宋体" w:cs="Times New Roman"/>
                <w:b/>
                <w:bCs/>
                <w:szCs w:val="24"/>
              </w:rPr>
              <w:t>运营期：</w:t>
            </w:r>
          </w:p>
          <w:p>
            <w:pPr>
              <w:ind w:firstLine="48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在污水</w:t>
            </w:r>
            <w:r>
              <w:rPr>
                <w:rFonts w:hint="eastAsia" w:ascii="Times New Roman" w:hAnsi="Times New Roman" w:cs="Times New Roman"/>
              </w:rPr>
              <w:t>管网接通罗家坡污水处理厂之前</w:t>
            </w:r>
            <w:r>
              <w:rPr>
                <w:rFonts w:ascii="Times New Roman" w:hAnsi="Times New Roman" w:cs="Times New Roman"/>
              </w:rPr>
              <w:t>执行《</w:t>
            </w:r>
            <w:r>
              <w:rPr>
                <w:rFonts w:hint="eastAsia" w:ascii="Times New Roman" w:hAnsi="Times New Roman" w:cs="Times New Roman"/>
              </w:rPr>
              <w:t>城镇污水处理厂污染物</w:t>
            </w:r>
            <w:r>
              <w:rPr>
                <w:rFonts w:ascii="Times New Roman" w:hAnsi="Times New Roman" w:cs="Times New Roman"/>
              </w:rPr>
              <w:t>排放标准》（GB8</w:t>
            </w:r>
            <w:r>
              <w:rPr>
                <w:rFonts w:hint="eastAsia" w:ascii="Times New Roman" w:hAnsi="Times New Roman" w:cs="Times New Roman"/>
              </w:rPr>
              <w:t>18918</w:t>
            </w:r>
            <w:r>
              <w:rPr>
                <w:rFonts w:ascii="Times New Roman" w:hAnsi="Times New Roman" w:cs="Times New Roman"/>
              </w:rPr>
              <w:t>-</w:t>
            </w:r>
            <w:r>
              <w:rPr>
                <w:rFonts w:hint="eastAsia" w:ascii="Times New Roman" w:hAnsi="Times New Roman" w:cs="Times New Roman"/>
              </w:rPr>
              <w:t>2002</w:t>
            </w:r>
            <w:r>
              <w:rPr>
                <w:rFonts w:ascii="Times New Roman" w:hAnsi="Times New Roman" w:cs="Times New Roman"/>
              </w:rPr>
              <w:t>）一级</w:t>
            </w:r>
            <w:r>
              <w:rPr>
                <w:rFonts w:hint="eastAsia" w:ascii="Times New Roman" w:hAnsi="Times New Roman" w:cs="Times New Roman"/>
              </w:rPr>
              <w:t>A标准，污水经自建的污水处理站处理达标后排至北港河，最终排至南湖。</w:t>
            </w:r>
          </w:p>
          <w:p>
            <w:pPr>
              <w:spacing w:line="360" w:lineRule="auto"/>
              <w:ind w:firstLine="48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在污水</w:t>
            </w:r>
            <w:r>
              <w:rPr>
                <w:rFonts w:hint="eastAsia" w:ascii="Times New Roman" w:hAnsi="Times New Roman" w:cs="Times New Roman"/>
              </w:rPr>
              <w:t>管网接通罗家坡污水处理厂</w:t>
            </w:r>
            <w:r>
              <w:rPr>
                <w:rFonts w:ascii="Times New Roman" w:hAnsi="Times New Roman" w:cs="Times New Roman"/>
              </w:rPr>
              <w:t>后执行《</w:t>
            </w:r>
            <w:r>
              <w:rPr>
                <w:rFonts w:hint="eastAsia" w:ascii="Times New Roman" w:hAnsi="Times New Roman" w:cs="Times New Roman"/>
              </w:rPr>
              <w:t>城镇污水处理厂污染物综合排放标准</w:t>
            </w:r>
            <w:r>
              <w:rPr>
                <w:rFonts w:ascii="Times New Roman" w:hAnsi="Times New Roman" w:cs="Times New Roman"/>
              </w:rPr>
              <w:t>》（GB</w:t>
            </w:r>
            <w:r>
              <w:rPr>
                <w:rFonts w:hint="eastAsia" w:ascii="Times New Roman" w:hAnsi="Times New Roman" w:cs="Times New Roman"/>
              </w:rPr>
              <w:t>18918</w:t>
            </w:r>
            <w:r>
              <w:rPr>
                <w:rFonts w:ascii="Times New Roman" w:hAnsi="Times New Roman" w:cs="Times New Roman"/>
              </w:rPr>
              <w:t>-</w:t>
            </w:r>
            <w:r>
              <w:rPr>
                <w:rFonts w:hint="eastAsia" w:ascii="Times New Roman" w:hAnsi="Times New Roman" w:cs="Times New Roman"/>
              </w:rPr>
              <w:t>2002</w:t>
            </w:r>
            <w:r>
              <w:rPr>
                <w:rFonts w:ascii="Times New Roman" w:hAnsi="Times New Roman" w:cs="Times New Roman"/>
              </w:rPr>
              <w:t>）中三级排放标准</w:t>
            </w:r>
            <w:r>
              <w:rPr>
                <w:rFonts w:hint="eastAsia" w:ascii="Times New Roman" w:hAnsi="Times New Roman" w:eastAsia="宋体"/>
                <w:szCs w:val="24"/>
              </w:rPr>
              <w:t>及管网接纳标准</w:t>
            </w:r>
            <w:r>
              <w:rPr>
                <w:rFonts w:hint="eastAsia" w:ascii="Times New Roman" w:hAnsi="Times New Roman" w:cs="Times New Roman"/>
              </w:rPr>
              <w:t>，</w:t>
            </w:r>
            <w:r>
              <w:rPr>
                <w:rFonts w:hint="eastAsia" w:ascii="Times New Roman" w:hAnsi="Times New Roman" w:eastAsia="宋体"/>
                <w:szCs w:val="24"/>
              </w:rPr>
              <w:t>污水经罗家坡污水处理厂处理达《城镇污水处理厂污染物排放标准》（GB18918-2002）一级A标后排至北港河，最终排至南湖。</w:t>
            </w:r>
            <w:r>
              <w:rPr>
                <w:rFonts w:hint="eastAsia" w:ascii="Times New Roman" w:hAnsi="Times New Roman" w:cs="Times New Roman"/>
              </w:rPr>
              <w:t>其具体标准值见表4-4。</w:t>
            </w:r>
          </w:p>
          <w:p>
            <w:pPr>
              <w:spacing w:line="360" w:lineRule="auto"/>
              <w:jc w:val="center"/>
              <w:rPr>
                <w:rFonts w:ascii="Times New Roman" w:hAnsi="Times New Roman" w:cs="Times New Roman"/>
                <w:b/>
                <w:bCs/>
              </w:rPr>
            </w:pPr>
            <w:r>
              <w:rPr>
                <w:rFonts w:ascii="Times New Roman" w:hAnsi="Times New Roman" w:cs="Times New Roman"/>
                <w:b/>
                <w:bCs/>
              </w:rPr>
              <w:t>表4-</w:t>
            </w:r>
            <w:r>
              <w:rPr>
                <w:rFonts w:hint="eastAsia" w:ascii="Times New Roman" w:hAnsi="Times New Roman" w:cs="Times New Roman"/>
                <w:b/>
                <w:bCs/>
              </w:rPr>
              <w:t>4</w:t>
            </w:r>
            <w:r>
              <w:rPr>
                <w:rFonts w:ascii="Times New Roman" w:hAnsi="Times New Roman" w:cs="Times New Roman"/>
                <w:b/>
                <w:bCs/>
              </w:rPr>
              <w:t xml:space="preserve">   </w:t>
            </w:r>
            <w:r>
              <w:rPr>
                <w:rFonts w:hint="eastAsia" w:ascii="Times New Roman" w:hAnsi="Times New Roman" w:cs="Times New Roman"/>
                <w:b/>
                <w:bCs/>
              </w:rPr>
              <w:t xml:space="preserve">废水排放执行标准 </w:t>
            </w:r>
            <w:r>
              <w:rPr>
                <w:rFonts w:ascii="Times New Roman" w:hAnsi="Times New Roman" w:cs="Times New Roman"/>
                <w:b/>
                <w:bCs/>
              </w:rPr>
              <w:t>单位：mg/L， pH无量纲</w:t>
            </w:r>
          </w:p>
          <w:tbl>
            <w:tblPr>
              <w:tblStyle w:val="23"/>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562"/>
              <w:gridCol w:w="1144"/>
              <w:gridCol w:w="1919"/>
              <w:gridCol w:w="1818"/>
              <w:gridCol w:w="1296"/>
              <w:gridCol w:w="190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vMerge w:val="restart"/>
                  <w:vAlign w:val="center"/>
                </w:tcPr>
                <w:p>
                  <w:pPr>
                    <w:snapToGrid w:val="0"/>
                    <w:spacing w:line="240" w:lineRule="auto"/>
                    <w:jc w:val="center"/>
                    <w:rPr>
                      <w:rFonts w:ascii="Times New Roman" w:hAnsi="Times New Roman" w:eastAsia="宋体"/>
                      <w:b/>
                      <w:bCs/>
                      <w:sz w:val="21"/>
                      <w:szCs w:val="21"/>
                    </w:rPr>
                  </w:pPr>
                  <w:r>
                    <w:rPr>
                      <w:rFonts w:ascii="Times New Roman" w:hAnsi="Times New Roman" w:eastAsia="宋体"/>
                      <w:b/>
                      <w:bCs/>
                      <w:sz w:val="21"/>
                      <w:szCs w:val="21"/>
                    </w:rPr>
                    <w:t>序号</w:t>
                  </w:r>
                </w:p>
              </w:tc>
              <w:tc>
                <w:tcPr>
                  <w:tcW w:w="661" w:type="pct"/>
                  <w:vMerge w:val="restart"/>
                  <w:vAlign w:val="center"/>
                </w:tcPr>
                <w:p>
                  <w:pPr>
                    <w:snapToGrid w:val="0"/>
                    <w:spacing w:line="240" w:lineRule="auto"/>
                    <w:jc w:val="center"/>
                    <w:rPr>
                      <w:rFonts w:ascii="Times New Roman" w:hAnsi="Times New Roman" w:eastAsia="宋体"/>
                      <w:b/>
                      <w:bCs/>
                      <w:sz w:val="21"/>
                      <w:szCs w:val="21"/>
                    </w:rPr>
                  </w:pPr>
                  <w:r>
                    <w:rPr>
                      <w:rFonts w:ascii="Times New Roman" w:hAnsi="Times New Roman" w:eastAsia="宋体"/>
                      <w:b/>
                      <w:bCs/>
                      <w:sz w:val="21"/>
                      <w:szCs w:val="21"/>
                    </w:rPr>
                    <w:t>污 染 物</w:t>
                  </w:r>
                </w:p>
              </w:tc>
              <w:tc>
                <w:tcPr>
                  <w:tcW w:w="1109" w:type="pct"/>
                  <w:vAlign w:val="center"/>
                </w:tcPr>
                <w:p>
                  <w:pPr>
                    <w:snapToGrid w:val="0"/>
                    <w:spacing w:line="24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接污水管网前</w:t>
                  </w:r>
                </w:p>
              </w:tc>
              <w:tc>
                <w:tcPr>
                  <w:tcW w:w="2903" w:type="pct"/>
                  <w:gridSpan w:val="3"/>
                  <w:vAlign w:val="center"/>
                </w:tcPr>
                <w:p>
                  <w:pPr>
                    <w:snapToGrid w:val="0"/>
                    <w:spacing w:line="240" w:lineRule="auto"/>
                    <w:jc w:val="center"/>
                    <w:rPr>
                      <w:rFonts w:ascii="Times New Roman" w:hAnsi="Times New Roman" w:eastAsia="宋体" w:cs="Times New Roman"/>
                      <w:b/>
                      <w:bCs/>
                      <w:sz w:val="21"/>
                      <w:szCs w:val="21"/>
                    </w:rPr>
                  </w:pPr>
                  <w:r>
                    <w:rPr>
                      <w:rFonts w:ascii="Times New Roman" w:hAnsi="Times New Roman" w:eastAsia="宋体"/>
                      <w:b/>
                      <w:bCs/>
                      <w:sz w:val="21"/>
                      <w:szCs w:val="21"/>
                    </w:rPr>
                    <w:t>污水</w:t>
                  </w:r>
                  <w:r>
                    <w:rPr>
                      <w:rFonts w:hint="eastAsia" w:ascii="Times New Roman" w:hAnsi="Times New Roman" w:eastAsia="宋体"/>
                      <w:b/>
                      <w:bCs/>
                      <w:sz w:val="21"/>
                      <w:szCs w:val="21"/>
                    </w:rPr>
                    <w:t>管网接通罗家坡污水处理厂</w:t>
                  </w:r>
                  <w:r>
                    <w:rPr>
                      <w:rFonts w:ascii="Times New Roman" w:hAnsi="Times New Roman" w:eastAsia="宋体"/>
                      <w:b/>
                      <w:bCs/>
                      <w:sz w:val="21"/>
                      <w:szCs w:val="21"/>
                    </w:rPr>
                    <w:t>后</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vMerge w:val="continue"/>
                  <w:tcBorders>
                    <w:bottom w:val="single" w:color="000000" w:sz="12" w:space="0"/>
                  </w:tcBorders>
                  <w:vAlign w:val="center"/>
                </w:tcPr>
                <w:p>
                  <w:pPr>
                    <w:snapToGrid w:val="0"/>
                    <w:spacing w:line="240" w:lineRule="auto"/>
                    <w:jc w:val="center"/>
                    <w:rPr>
                      <w:rFonts w:ascii="Times New Roman" w:hAnsi="Times New Roman" w:eastAsia="宋体"/>
                      <w:b/>
                      <w:bCs/>
                      <w:sz w:val="21"/>
                      <w:szCs w:val="21"/>
                    </w:rPr>
                  </w:pPr>
                </w:p>
              </w:tc>
              <w:tc>
                <w:tcPr>
                  <w:tcW w:w="661" w:type="pct"/>
                  <w:vMerge w:val="continue"/>
                  <w:tcBorders>
                    <w:bottom w:val="single" w:color="000000" w:sz="12" w:space="0"/>
                  </w:tcBorders>
                  <w:vAlign w:val="center"/>
                </w:tcPr>
                <w:p>
                  <w:pPr>
                    <w:snapToGrid w:val="0"/>
                    <w:spacing w:line="240" w:lineRule="auto"/>
                    <w:jc w:val="center"/>
                    <w:rPr>
                      <w:rFonts w:ascii="Times New Roman" w:hAnsi="Times New Roman" w:eastAsia="宋体"/>
                      <w:b/>
                      <w:bCs/>
                      <w:sz w:val="21"/>
                      <w:szCs w:val="21"/>
                    </w:rPr>
                  </w:pPr>
                </w:p>
              </w:tc>
              <w:tc>
                <w:tcPr>
                  <w:tcW w:w="1109" w:type="pct"/>
                  <w:tcBorders>
                    <w:bottom w:val="single" w:color="000000" w:sz="12" w:space="0"/>
                  </w:tcBorders>
                  <w:vAlign w:val="center"/>
                </w:tcPr>
                <w:p>
                  <w:pPr>
                    <w:snapToGrid w:val="0"/>
                    <w:spacing w:line="24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(GB18918-2002)</w:t>
                  </w:r>
                </w:p>
                <w:p>
                  <w:pPr>
                    <w:snapToGrid w:val="0"/>
                    <w:spacing w:line="240" w:lineRule="auto"/>
                    <w:jc w:val="center"/>
                    <w:rPr>
                      <w:rFonts w:ascii="Times New Roman" w:hAnsi="Times New Roman" w:eastAsia="宋体"/>
                      <w:b/>
                      <w:bCs/>
                      <w:sz w:val="21"/>
                      <w:szCs w:val="21"/>
                    </w:rPr>
                  </w:pPr>
                  <w:r>
                    <w:rPr>
                      <w:rFonts w:hint="eastAsia" w:ascii="Times New Roman" w:hAnsi="Times New Roman" w:eastAsia="宋体" w:cs="Times New Roman"/>
                      <w:b/>
                      <w:bCs/>
                      <w:sz w:val="21"/>
                      <w:szCs w:val="21"/>
                    </w:rPr>
                    <w:t>一级A标</w:t>
                  </w:r>
                </w:p>
              </w:tc>
              <w:tc>
                <w:tcPr>
                  <w:tcW w:w="1051" w:type="pct"/>
                  <w:tcBorders>
                    <w:bottom w:val="single" w:color="000000" w:sz="12" w:space="0"/>
                  </w:tcBorders>
                  <w:vAlign w:val="center"/>
                </w:tcPr>
                <w:p>
                  <w:pPr>
                    <w:snapToGrid w:val="0"/>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w:t>
                  </w:r>
                  <w:r>
                    <w:rPr>
                      <w:rFonts w:ascii="Times New Roman" w:hAnsi="Times New Roman" w:eastAsia="宋体"/>
                      <w:b/>
                      <w:bCs/>
                      <w:sz w:val="21"/>
                      <w:szCs w:val="21"/>
                    </w:rPr>
                    <w:t>GB</w:t>
                  </w:r>
                  <w:r>
                    <w:rPr>
                      <w:rFonts w:hint="eastAsia" w:ascii="Times New Roman" w:hAnsi="Times New Roman" w:eastAsia="宋体"/>
                      <w:b/>
                      <w:bCs/>
                      <w:sz w:val="21"/>
                      <w:szCs w:val="21"/>
                    </w:rPr>
                    <w:t>18918</w:t>
                  </w:r>
                  <w:r>
                    <w:rPr>
                      <w:rFonts w:ascii="Times New Roman" w:hAnsi="Times New Roman" w:eastAsia="宋体"/>
                      <w:b/>
                      <w:bCs/>
                      <w:sz w:val="21"/>
                      <w:szCs w:val="21"/>
                    </w:rPr>
                    <w:t>-</w:t>
                  </w:r>
                  <w:r>
                    <w:rPr>
                      <w:rFonts w:hint="eastAsia" w:ascii="Times New Roman" w:hAnsi="Times New Roman" w:eastAsia="宋体"/>
                      <w:b/>
                      <w:bCs/>
                      <w:sz w:val="21"/>
                      <w:szCs w:val="21"/>
                    </w:rPr>
                    <w:t>2002)三级标准</w:t>
                  </w:r>
                </w:p>
              </w:tc>
              <w:tc>
                <w:tcPr>
                  <w:tcW w:w="749" w:type="pct"/>
                  <w:tcBorders>
                    <w:bottom w:val="single" w:color="000000" w:sz="12" w:space="0"/>
                  </w:tcBorders>
                  <w:vAlign w:val="center"/>
                </w:tcPr>
                <w:p>
                  <w:pPr>
                    <w:snapToGrid w:val="0"/>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接管标准</w:t>
                  </w:r>
                </w:p>
              </w:tc>
              <w:tc>
                <w:tcPr>
                  <w:tcW w:w="1103" w:type="pct"/>
                  <w:tcBorders>
                    <w:bottom w:val="single" w:color="000000" w:sz="12" w:space="0"/>
                  </w:tcBorders>
                  <w:vAlign w:val="center"/>
                </w:tcPr>
                <w:p>
                  <w:pPr>
                    <w:snapToGrid w:val="0"/>
                    <w:spacing w:line="240" w:lineRule="auto"/>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(GB18918-2002)</w:t>
                  </w:r>
                </w:p>
                <w:p>
                  <w:pPr>
                    <w:snapToGrid w:val="0"/>
                    <w:spacing w:line="240" w:lineRule="auto"/>
                    <w:jc w:val="center"/>
                    <w:rPr>
                      <w:rFonts w:ascii="Times New Roman" w:hAnsi="Times New Roman" w:eastAsia="宋体"/>
                      <w:b/>
                      <w:bCs/>
                      <w:sz w:val="21"/>
                      <w:szCs w:val="21"/>
                    </w:rPr>
                  </w:pPr>
                  <w:r>
                    <w:rPr>
                      <w:rFonts w:hint="eastAsia" w:ascii="Times New Roman" w:hAnsi="Times New Roman" w:eastAsia="宋体" w:cs="Times New Roman"/>
                      <w:b/>
                      <w:bCs/>
                      <w:sz w:val="21"/>
                      <w:szCs w:val="21"/>
                    </w:rPr>
                    <w:t>一级A标</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1</w:t>
                  </w:r>
                </w:p>
              </w:tc>
              <w:tc>
                <w:tcPr>
                  <w:tcW w:w="661"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pH</w:t>
                  </w:r>
                </w:p>
              </w:tc>
              <w:tc>
                <w:tcPr>
                  <w:tcW w:w="1109"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6~9</w:t>
                  </w:r>
                </w:p>
              </w:tc>
              <w:tc>
                <w:tcPr>
                  <w:tcW w:w="1051"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6~9</w:t>
                  </w:r>
                </w:p>
              </w:tc>
              <w:tc>
                <w:tcPr>
                  <w:tcW w:w="749"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6～9</w:t>
                  </w:r>
                </w:p>
              </w:tc>
              <w:tc>
                <w:tcPr>
                  <w:tcW w:w="1103" w:type="pct"/>
                  <w:tcBorders>
                    <w:top w:val="single" w:color="000000" w:sz="12" w:space="0"/>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6~9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2</w:t>
                  </w:r>
                </w:p>
              </w:tc>
              <w:tc>
                <w:tcPr>
                  <w:tcW w:w="66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CODcr</w:t>
                  </w:r>
                </w:p>
              </w:tc>
              <w:tc>
                <w:tcPr>
                  <w:tcW w:w="110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5</w:t>
                  </w:r>
                  <w:r>
                    <w:rPr>
                      <w:rFonts w:hint="eastAsia" w:ascii="Times New Roman" w:hAnsi="Times New Roman" w:eastAsia="宋体"/>
                      <w:sz w:val="21"/>
                      <w:szCs w:val="21"/>
                    </w:rPr>
                    <w:t>0</w:t>
                  </w:r>
                </w:p>
              </w:tc>
              <w:tc>
                <w:tcPr>
                  <w:tcW w:w="105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500</w:t>
                  </w:r>
                </w:p>
              </w:tc>
              <w:tc>
                <w:tcPr>
                  <w:tcW w:w="74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260</w:t>
                  </w:r>
                </w:p>
              </w:tc>
              <w:tc>
                <w:tcPr>
                  <w:tcW w:w="1103"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3</w:t>
                  </w:r>
                </w:p>
              </w:tc>
              <w:tc>
                <w:tcPr>
                  <w:tcW w:w="66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SS</w:t>
                  </w:r>
                </w:p>
              </w:tc>
              <w:tc>
                <w:tcPr>
                  <w:tcW w:w="110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0</w:t>
                  </w:r>
                </w:p>
              </w:tc>
              <w:tc>
                <w:tcPr>
                  <w:tcW w:w="105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400</w:t>
                  </w:r>
                </w:p>
              </w:tc>
              <w:tc>
                <w:tcPr>
                  <w:tcW w:w="74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210</w:t>
                  </w:r>
                </w:p>
              </w:tc>
              <w:tc>
                <w:tcPr>
                  <w:tcW w:w="1103"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4</w:t>
                  </w:r>
                </w:p>
              </w:tc>
              <w:tc>
                <w:tcPr>
                  <w:tcW w:w="66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BOD</w:t>
                  </w:r>
                  <w:r>
                    <w:rPr>
                      <w:rFonts w:ascii="Times New Roman" w:hAnsi="Times New Roman" w:eastAsia="宋体"/>
                      <w:sz w:val="21"/>
                      <w:szCs w:val="21"/>
                      <w:vertAlign w:val="subscript"/>
                    </w:rPr>
                    <w:t>5</w:t>
                  </w:r>
                </w:p>
              </w:tc>
              <w:tc>
                <w:tcPr>
                  <w:tcW w:w="110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0</w:t>
                  </w:r>
                </w:p>
              </w:tc>
              <w:tc>
                <w:tcPr>
                  <w:tcW w:w="105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300</w:t>
                  </w:r>
                </w:p>
              </w:tc>
              <w:tc>
                <w:tcPr>
                  <w:tcW w:w="74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p>
              </w:tc>
              <w:tc>
                <w:tcPr>
                  <w:tcW w:w="1103"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5</w:t>
                  </w:r>
                </w:p>
              </w:tc>
              <w:tc>
                <w:tcPr>
                  <w:tcW w:w="66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NH</w:t>
                  </w:r>
                  <w:r>
                    <w:rPr>
                      <w:rFonts w:ascii="Times New Roman" w:hAnsi="Times New Roman" w:eastAsia="宋体"/>
                      <w:sz w:val="21"/>
                      <w:szCs w:val="21"/>
                      <w:vertAlign w:val="subscript"/>
                    </w:rPr>
                    <w:t>3</w:t>
                  </w:r>
                  <w:r>
                    <w:rPr>
                      <w:rFonts w:ascii="Times New Roman" w:hAnsi="Times New Roman" w:eastAsia="宋体"/>
                      <w:sz w:val="21"/>
                      <w:szCs w:val="21"/>
                    </w:rPr>
                    <w:t>-N</w:t>
                  </w:r>
                </w:p>
              </w:tc>
              <w:tc>
                <w:tcPr>
                  <w:tcW w:w="110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5（8）</w:t>
                  </w:r>
                </w:p>
              </w:tc>
              <w:tc>
                <w:tcPr>
                  <w:tcW w:w="105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25</w:t>
                  </w:r>
                </w:p>
              </w:tc>
              <w:tc>
                <w:tcPr>
                  <w:tcW w:w="74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25</w:t>
                  </w:r>
                </w:p>
              </w:tc>
              <w:tc>
                <w:tcPr>
                  <w:tcW w:w="1103"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cs="Times New Roman"/>
                      <w:sz w:val="21"/>
                      <w:szCs w:val="21"/>
                    </w:rPr>
                    <w:t>5（8）</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325"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6</w:t>
                  </w:r>
                </w:p>
              </w:tc>
              <w:tc>
                <w:tcPr>
                  <w:tcW w:w="66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ascii="Times New Roman" w:hAnsi="Times New Roman" w:eastAsia="宋体"/>
                      <w:sz w:val="21"/>
                      <w:szCs w:val="21"/>
                    </w:rPr>
                    <w:t>动植物油</w:t>
                  </w:r>
                </w:p>
              </w:tc>
              <w:tc>
                <w:tcPr>
                  <w:tcW w:w="110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1</w:t>
                  </w:r>
                </w:p>
              </w:tc>
              <w:tc>
                <w:tcPr>
                  <w:tcW w:w="1051"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100</w:t>
                  </w:r>
                </w:p>
              </w:tc>
              <w:tc>
                <w:tcPr>
                  <w:tcW w:w="749"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w:t>
                  </w:r>
                </w:p>
              </w:tc>
              <w:tc>
                <w:tcPr>
                  <w:tcW w:w="1103" w:type="pct"/>
                  <w:tcBorders>
                    <w:tl2br w:val="nil"/>
                    <w:tr2bl w:val="nil"/>
                  </w:tcBorders>
                  <w:vAlign w:val="center"/>
                </w:tcPr>
                <w:p>
                  <w:pPr>
                    <w:snapToGrid w:val="0"/>
                    <w:spacing w:line="240" w:lineRule="auto"/>
                    <w:jc w:val="center"/>
                    <w:rPr>
                      <w:rFonts w:ascii="Times New Roman" w:hAnsi="Times New Roman" w:eastAsia="宋体"/>
                      <w:sz w:val="21"/>
                      <w:szCs w:val="21"/>
                    </w:rPr>
                  </w:pPr>
                  <w:r>
                    <w:rPr>
                      <w:rFonts w:hint="eastAsia" w:ascii="Times New Roman" w:hAnsi="Times New Roman" w:eastAsia="宋体"/>
                      <w:sz w:val="21"/>
                      <w:szCs w:val="21"/>
                    </w:rPr>
                    <w:t>1</w:t>
                  </w:r>
                </w:p>
              </w:tc>
            </w:tr>
          </w:tbl>
          <w:p>
            <w:pPr>
              <w:pStyle w:val="5"/>
              <w:ind w:firstLine="562"/>
              <w:outlineLvl w:val="1"/>
              <w:rPr>
                <w:rFonts w:cs="Times New Roman"/>
              </w:rPr>
            </w:pPr>
            <w:bookmarkStart w:id="31" w:name="_Toc34059503"/>
            <w:r>
              <w:rPr>
                <w:rFonts w:cs="Times New Roman"/>
              </w:rPr>
              <w:t>2、废气</w:t>
            </w:r>
            <w:bookmarkEnd w:id="31"/>
          </w:p>
          <w:p>
            <w:pPr>
              <w:ind w:firstLine="482" w:firstLineChars="200"/>
              <w:rPr>
                <w:rFonts w:ascii="Times New Roman" w:hAnsi="Times New Roman" w:cs="Times New Roman"/>
              </w:rPr>
            </w:pPr>
            <w:r>
              <w:rPr>
                <w:rFonts w:ascii="Times New Roman" w:hAnsi="Times New Roman" w:cs="Times New Roman"/>
                <w:b/>
                <w:bCs/>
              </w:rPr>
              <w:t>施工期</w:t>
            </w:r>
            <w:r>
              <w:rPr>
                <w:rFonts w:hint="eastAsia" w:ascii="Times New Roman" w:hAnsi="Times New Roman" w:cs="Times New Roman"/>
                <w:b/>
                <w:bCs/>
              </w:rPr>
              <w:t>：</w:t>
            </w:r>
            <w:r>
              <w:rPr>
                <w:rFonts w:ascii="Times New Roman" w:hAnsi="Times New Roman" w:cs="Times New Roman"/>
              </w:rPr>
              <w:t>大气污染物排放执行《大气污染物综合排放标准》（GB16297-1996）中的二级标准及无组织排放标准；</w:t>
            </w:r>
          </w:p>
          <w:p>
            <w:pPr>
              <w:spacing w:line="360" w:lineRule="auto"/>
              <w:jc w:val="center"/>
              <w:rPr>
                <w:rFonts w:ascii="Times New Roman" w:hAnsi="Times New Roman" w:cs="Times New Roman"/>
                <w:b/>
                <w:bCs/>
              </w:rPr>
            </w:pPr>
            <w:r>
              <w:rPr>
                <w:rFonts w:ascii="Times New Roman" w:hAnsi="Times New Roman" w:cs="Times New Roman"/>
                <w:b/>
                <w:bCs/>
              </w:rPr>
              <w:t>表4-</w:t>
            </w:r>
            <w:r>
              <w:rPr>
                <w:rFonts w:hint="eastAsia" w:ascii="Times New Roman" w:hAnsi="Times New Roman" w:cs="Times New Roman"/>
                <w:b/>
                <w:bCs/>
              </w:rPr>
              <w:t xml:space="preserve">5  </w:t>
            </w:r>
            <w:r>
              <w:rPr>
                <w:rFonts w:ascii="Times New Roman" w:hAnsi="Times New Roman" w:cs="Times New Roman"/>
                <w:b/>
                <w:bCs/>
              </w:rPr>
              <w:t>大气污染物综合排放标准（GB16297-1996）</w:t>
            </w:r>
          </w:p>
          <w:tbl>
            <w:tblPr>
              <w:tblStyle w:val="23"/>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220"/>
              <w:gridCol w:w="2823"/>
              <w:gridCol w:w="1905"/>
              <w:gridCol w:w="20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9" w:type="pct"/>
                  <w:vMerge w:val="restart"/>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序号</w:t>
                  </w:r>
                </w:p>
              </w:tc>
              <w:tc>
                <w:tcPr>
                  <w:tcW w:w="705" w:type="pct"/>
                  <w:vMerge w:val="restart"/>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污染物</w:t>
                  </w:r>
                </w:p>
              </w:tc>
              <w:tc>
                <w:tcPr>
                  <w:tcW w:w="1632" w:type="pct"/>
                  <w:vMerge w:val="restart"/>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最高允许排放浓度(mg/m</w:t>
                  </w:r>
                  <w:r>
                    <w:rPr>
                      <w:rFonts w:ascii="Times New Roman" w:hAnsi="Times New Roman" w:eastAsia="宋体" w:cs="Times New Roman"/>
                      <w:b/>
                      <w:bCs/>
                      <w:sz w:val="21"/>
                      <w:szCs w:val="21"/>
                      <w:vertAlign w:val="superscript"/>
                    </w:rPr>
                    <w:t>3</w:t>
                  </w:r>
                  <w:r>
                    <w:rPr>
                      <w:rFonts w:ascii="Times New Roman" w:hAnsi="Times New Roman" w:eastAsia="宋体" w:cs="Times New Roman"/>
                      <w:b/>
                      <w:bCs/>
                      <w:sz w:val="21"/>
                      <w:szCs w:val="21"/>
                    </w:rPr>
                    <w:t>)</w:t>
                  </w:r>
                </w:p>
              </w:tc>
              <w:tc>
                <w:tcPr>
                  <w:tcW w:w="2292" w:type="pct"/>
                  <w:gridSpan w:val="2"/>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无组织排放监控浓度限值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369" w:type="pct"/>
                  <w:vMerge w:val="continue"/>
                  <w:tcBorders>
                    <w:bottom w:val="single" w:color="auto" w:sz="12" w:space="0"/>
                  </w:tcBorders>
                  <w:vAlign w:val="center"/>
                </w:tcPr>
                <w:p>
                  <w:pPr>
                    <w:spacing w:line="420" w:lineRule="exact"/>
                    <w:jc w:val="center"/>
                    <w:rPr>
                      <w:rFonts w:ascii="Times New Roman" w:hAnsi="Times New Roman" w:eastAsia="宋体" w:cs="Times New Roman"/>
                      <w:b/>
                      <w:bCs/>
                      <w:sz w:val="21"/>
                      <w:szCs w:val="21"/>
                    </w:rPr>
                  </w:pPr>
                </w:p>
              </w:tc>
              <w:tc>
                <w:tcPr>
                  <w:tcW w:w="705" w:type="pct"/>
                  <w:vMerge w:val="continue"/>
                  <w:tcBorders>
                    <w:bottom w:val="single" w:color="auto" w:sz="12" w:space="0"/>
                  </w:tcBorders>
                  <w:vAlign w:val="center"/>
                </w:tcPr>
                <w:p>
                  <w:pPr>
                    <w:spacing w:line="420" w:lineRule="exact"/>
                    <w:jc w:val="center"/>
                    <w:rPr>
                      <w:rFonts w:ascii="Times New Roman" w:hAnsi="Times New Roman" w:eastAsia="宋体" w:cs="Times New Roman"/>
                      <w:b/>
                      <w:bCs/>
                      <w:sz w:val="21"/>
                      <w:szCs w:val="21"/>
                    </w:rPr>
                  </w:pPr>
                </w:p>
              </w:tc>
              <w:tc>
                <w:tcPr>
                  <w:tcW w:w="1632" w:type="pct"/>
                  <w:vMerge w:val="continue"/>
                  <w:tcBorders>
                    <w:bottom w:val="single" w:color="auto" w:sz="12" w:space="0"/>
                  </w:tcBorders>
                  <w:vAlign w:val="center"/>
                </w:tcPr>
                <w:p>
                  <w:pPr>
                    <w:spacing w:line="420" w:lineRule="exact"/>
                    <w:jc w:val="center"/>
                    <w:rPr>
                      <w:rFonts w:ascii="Times New Roman" w:hAnsi="Times New Roman" w:eastAsia="宋体" w:cs="Times New Roman"/>
                      <w:b/>
                      <w:bCs/>
                      <w:sz w:val="21"/>
                      <w:szCs w:val="21"/>
                    </w:rPr>
                  </w:pPr>
                </w:p>
              </w:tc>
              <w:tc>
                <w:tcPr>
                  <w:tcW w:w="1101" w:type="pct"/>
                  <w:tcBorders>
                    <w:bottom w:val="single" w:color="auto" w:sz="12" w:space="0"/>
                  </w:tcBorders>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监控点</w:t>
                  </w:r>
                </w:p>
              </w:tc>
              <w:tc>
                <w:tcPr>
                  <w:tcW w:w="1190" w:type="pct"/>
                  <w:tcBorders>
                    <w:bottom w:val="single" w:color="auto" w:sz="12" w:space="0"/>
                  </w:tcBorders>
                  <w:vAlign w:val="center"/>
                </w:tcPr>
                <w:p>
                  <w:pPr>
                    <w:spacing w:line="42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(mg/m</w:t>
                  </w:r>
                  <w:r>
                    <w:rPr>
                      <w:rFonts w:ascii="Times New Roman" w:hAnsi="Times New Roman" w:eastAsia="宋体" w:cs="Times New Roman"/>
                      <w:b/>
                      <w:bCs/>
                      <w:sz w:val="21"/>
                      <w:szCs w:val="21"/>
                      <w:vertAlign w:val="superscript"/>
                    </w:rPr>
                    <w:t>3</w:t>
                  </w:r>
                  <w:r>
                    <w:rPr>
                      <w:rFonts w:ascii="Times New Roman" w:hAnsi="Times New Roman" w:eastAsia="宋体" w:cs="Times New Roman"/>
                      <w:b/>
                      <w:bCs/>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9" w:type="pct"/>
                  <w:tcBorders>
                    <w:top w:val="single" w:color="auto" w:sz="12" w:space="0"/>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705" w:type="pct"/>
                  <w:tcBorders>
                    <w:top w:val="single" w:color="auto" w:sz="12" w:space="0"/>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二氧化硫</w:t>
                  </w:r>
                </w:p>
              </w:tc>
              <w:tc>
                <w:tcPr>
                  <w:tcW w:w="1632" w:type="pct"/>
                  <w:tcBorders>
                    <w:top w:val="single" w:color="auto" w:sz="12" w:space="0"/>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550</w:t>
                  </w:r>
                </w:p>
              </w:tc>
              <w:tc>
                <w:tcPr>
                  <w:tcW w:w="1101" w:type="pct"/>
                  <w:vMerge w:val="restart"/>
                  <w:tcBorders>
                    <w:top w:val="single" w:color="auto" w:sz="12" w:space="0"/>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周界外浓度最高点</w:t>
                  </w:r>
                </w:p>
              </w:tc>
              <w:tc>
                <w:tcPr>
                  <w:tcW w:w="1190" w:type="pct"/>
                  <w:tcBorders>
                    <w:top w:val="single" w:color="auto" w:sz="12" w:space="0"/>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0.40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9"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705"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氮氧化物</w:t>
                  </w:r>
                </w:p>
              </w:tc>
              <w:tc>
                <w:tcPr>
                  <w:tcW w:w="1632"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240</w:t>
                  </w:r>
                </w:p>
              </w:tc>
              <w:tc>
                <w:tcPr>
                  <w:tcW w:w="1101" w:type="pct"/>
                  <w:vMerge w:val="continue"/>
                  <w:tcBorders>
                    <w:tl2br w:val="nil"/>
                    <w:tr2bl w:val="nil"/>
                  </w:tcBorders>
                  <w:vAlign w:val="center"/>
                </w:tcPr>
                <w:p>
                  <w:pPr>
                    <w:spacing w:line="420" w:lineRule="exact"/>
                    <w:jc w:val="center"/>
                    <w:rPr>
                      <w:rFonts w:ascii="Times New Roman" w:hAnsi="Times New Roman" w:eastAsia="宋体" w:cs="Times New Roman"/>
                      <w:sz w:val="21"/>
                      <w:szCs w:val="21"/>
                    </w:rPr>
                  </w:pPr>
                </w:p>
              </w:tc>
              <w:tc>
                <w:tcPr>
                  <w:tcW w:w="1190"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369"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705"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颗粒物</w:t>
                  </w:r>
                </w:p>
              </w:tc>
              <w:tc>
                <w:tcPr>
                  <w:tcW w:w="1632"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120</w:t>
                  </w:r>
                </w:p>
              </w:tc>
              <w:tc>
                <w:tcPr>
                  <w:tcW w:w="1101" w:type="pct"/>
                  <w:vMerge w:val="continue"/>
                  <w:tcBorders>
                    <w:tl2br w:val="nil"/>
                    <w:tr2bl w:val="nil"/>
                  </w:tcBorders>
                  <w:vAlign w:val="center"/>
                </w:tcPr>
                <w:p>
                  <w:pPr>
                    <w:spacing w:line="420" w:lineRule="exact"/>
                    <w:jc w:val="center"/>
                    <w:rPr>
                      <w:rFonts w:ascii="Times New Roman" w:hAnsi="Times New Roman" w:eastAsia="宋体" w:cs="Times New Roman"/>
                      <w:sz w:val="21"/>
                      <w:szCs w:val="21"/>
                    </w:rPr>
                  </w:pPr>
                </w:p>
              </w:tc>
              <w:tc>
                <w:tcPr>
                  <w:tcW w:w="1190" w:type="pct"/>
                  <w:tcBorders>
                    <w:tl2br w:val="nil"/>
                    <w:tr2bl w:val="nil"/>
                  </w:tcBorders>
                  <w:vAlign w:val="center"/>
                </w:tcPr>
                <w:p>
                  <w:pPr>
                    <w:spacing w:line="42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r>
          </w:tbl>
          <w:p>
            <w:pPr>
              <w:adjustRightInd w:val="0"/>
              <w:snapToGrid w:val="0"/>
              <w:ind w:firstLine="482" w:firstLineChars="200"/>
              <w:rPr>
                <w:rFonts w:ascii="Times New Roman" w:hAnsi="Times New Roman" w:eastAsia="宋体"/>
                <w:bCs/>
              </w:rPr>
            </w:pPr>
            <w:r>
              <w:rPr>
                <w:rFonts w:hint="eastAsia" w:ascii="Times New Roman" w:hAnsi="Times New Roman" w:eastAsia="宋体"/>
                <w:b/>
              </w:rPr>
              <w:t>运营期：</w:t>
            </w:r>
            <w:r>
              <w:rPr>
                <w:rFonts w:hint="eastAsia" w:ascii="Times New Roman" w:hAnsi="Times New Roman" w:eastAsia="宋体"/>
                <w:bCs/>
              </w:rPr>
              <w:t>厨房油烟执行《饮食业油烟排放标准（试行）》（GB18483-2001）中标准：最高允许排放浓度为2.0mg/m³；污水处理站产生的硫化氢、氨气执行《恶臭污染物排放标准》（GB14554-93）相关标准；汽车废气执行</w:t>
            </w:r>
            <w:r>
              <w:rPr>
                <w:rFonts w:ascii="Times New Roman" w:hAnsi="Times New Roman" w:eastAsia="宋体" w:cs="Times New Roman"/>
                <w:szCs w:val="24"/>
              </w:rPr>
              <w:t>《大气污染物综合排放标准》（</w:t>
            </w:r>
            <w:r>
              <w:rPr>
                <w:rFonts w:ascii="Times New Roman" w:hAnsi="Times New Roman" w:eastAsia="宋体" w:cs="Times New Roman"/>
              </w:rPr>
              <w:t>GB16297-1996</w:t>
            </w:r>
            <w:r>
              <w:rPr>
                <w:rFonts w:ascii="Times New Roman" w:hAnsi="Times New Roman" w:eastAsia="宋体" w:cs="Times New Roman"/>
                <w:szCs w:val="24"/>
              </w:rPr>
              <w:t>）中的二级标准及无组织排放标准</w:t>
            </w:r>
            <w:r>
              <w:rPr>
                <w:rFonts w:hint="eastAsia" w:ascii="Times New Roman" w:hAnsi="Times New Roman" w:eastAsia="宋体" w:cs="Times New Roman"/>
                <w:szCs w:val="24"/>
              </w:rPr>
              <w:t>。</w:t>
            </w:r>
          </w:p>
          <w:p>
            <w:pPr>
              <w:spacing w:line="360" w:lineRule="auto"/>
              <w:jc w:val="center"/>
              <w:rPr>
                <w:rFonts w:ascii="Times New Roman" w:hAnsi="Times New Roman" w:cs="Times New Roman"/>
                <w:b/>
                <w:bCs/>
              </w:rPr>
            </w:pPr>
            <w:r>
              <w:rPr>
                <w:rFonts w:hint="eastAsia" w:ascii="Times New Roman" w:hAnsi="Times New Roman" w:cs="Times New Roman"/>
                <w:b/>
                <w:bCs/>
              </w:rPr>
              <w:t>表4-6  运营期大气污染物执行标准</w:t>
            </w:r>
          </w:p>
          <w:tbl>
            <w:tblPr>
              <w:tblStyle w:val="24"/>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2443"/>
              <w:gridCol w:w="375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8" w:type="pct"/>
                  <w:gridSpan w:val="2"/>
                  <w:tcBorders>
                    <w:bottom w:val="single" w:color="auto" w:sz="12" w:space="0"/>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污染物</w:t>
                  </w:r>
                </w:p>
              </w:tc>
              <w:tc>
                <w:tcPr>
                  <w:tcW w:w="1412" w:type="pct"/>
                  <w:tcBorders>
                    <w:bottom w:val="single" w:color="auto" w:sz="12" w:space="0"/>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限制值</w:t>
                  </w:r>
                </w:p>
              </w:tc>
              <w:tc>
                <w:tcPr>
                  <w:tcW w:w="2169" w:type="pct"/>
                  <w:tcBorders>
                    <w:bottom w:val="single" w:color="auto" w:sz="12" w:space="0"/>
                  </w:tcBorders>
                  <w:vAlign w:val="center"/>
                </w:tcPr>
                <w:p>
                  <w:pPr>
                    <w:spacing w:line="240" w:lineRule="auto"/>
                    <w:jc w:val="center"/>
                    <w:rPr>
                      <w:rFonts w:ascii="Times New Roman" w:hAnsi="Times New Roman" w:eastAsia="宋体"/>
                      <w:b/>
                      <w:bCs/>
                      <w:sz w:val="21"/>
                      <w:szCs w:val="21"/>
                    </w:rPr>
                  </w:pPr>
                  <w:r>
                    <w:rPr>
                      <w:rFonts w:hint="eastAsia" w:ascii="Times New Roman" w:hAnsi="Times New Roman" w:eastAsia="宋体"/>
                      <w:b/>
                      <w:bCs/>
                      <w:sz w:val="21"/>
                      <w:szCs w:val="21"/>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8" w:type="pct"/>
                  <w:gridSpan w:val="2"/>
                  <w:tcBorders>
                    <w:top w:val="single" w:color="auto" w:sz="12" w:space="0"/>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油烟废气</w:t>
                  </w:r>
                </w:p>
              </w:tc>
              <w:tc>
                <w:tcPr>
                  <w:tcW w:w="1412" w:type="pct"/>
                  <w:tcBorders>
                    <w:top w:val="single" w:color="auto" w:sz="12" w:space="0"/>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2.0mg/m</w:t>
                  </w:r>
                  <w:r>
                    <w:rPr>
                      <w:rFonts w:hint="eastAsia" w:ascii="Times New Roman" w:hAnsi="Times New Roman" w:eastAsia="宋体"/>
                      <w:sz w:val="21"/>
                      <w:szCs w:val="21"/>
                      <w:vertAlign w:val="superscript"/>
                    </w:rPr>
                    <w:t>3</w:t>
                  </w:r>
                </w:p>
              </w:tc>
              <w:tc>
                <w:tcPr>
                  <w:tcW w:w="2169" w:type="pct"/>
                  <w:tcBorders>
                    <w:top w:val="single" w:color="auto" w:sz="12" w:space="0"/>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执行《饮食油烟排放标准》（GB18482-2001）标准要求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8" w:type="pct"/>
                  <w:gridSpan w:val="2"/>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硫化氢</w:t>
                  </w:r>
                </w:p>
              </w:tc>
              <w:tc>
                <w:tcPr>
                  <w:tcW w:w="1412" w:type="pct"/>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0.06mg/m</w:t>
                  </w:r>
                  <w:r>
                    <w:rPr>
                      <w:rFonts w:hint="eastAsia" w:ascii="Times New Roman" w:hAnsi="Times New Roman" w:eastAsia="宋体"/>
                      <w:sz w:val="21"/>
                      <w:szCs w:val="21"/>
                      <w:vertAlign w:val="superscript"/>
                    </w:rPr>
                    <w:t>3</w:t>
                  </w:r>
                </w:p>
              </w:tc>
              <w:tc>
                <w:tcPr>
                  <w:tcW w:w="2169" w:type="pct"/>
                  <w:vMerge w:val="restart"/>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《恶臭污染物排放标准》（GB14554-93）标准要求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8" w:type="pct"/>
                  <w:gridSpan w:val="2"/>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氨气</w:t>
                  </w:r>
                </w:p>
              </w:tc>
              <w:tc>
                <w:tcPr>
                  <w:tcW w:w="1412" w:type="pct"/>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1.5mg/m</w:t>
                  </w:r>
                  <w:r>
                    <w:rPr>
                      <w:rFonts w:hint="eastAsia" w:ascii="Times New Roman" w:hAnsi="Times New Roman" w:eastAsia="宋体"/>
                      <w:sz w:val="21"/>
                      <w:szCs w:val="21"/>
                      <w:vertAlign w:val="superscript"/>
                    </w:rPr>
                    <w:t>3</w:t>
                  </w:r>
                </w:p>
              </w:tc>
              <w:tc>
                <w:tcPr>
                  <w:tcW w:w="2169" w:type="pct"/>
                  <w:vMerge w:val="continue"/>
                  <w:tcBorders>
                    <w:tl2br w:val="nil"/>
                    <w:tr2bl w:val="nil"/>
                  </w:tcBorders>
                  <w:vAlign w:val="center"/>
                </w:tcPr>
                <w:p>
                  <w:pPr>
                    <w:spacing w:line="240" w:lineRule="auto"/>
                    <w:jc w:val="center"/>
                    <w:rPr>
                      <w:rFonts w:ascii="Times New Roman" w:hAnsi="Times New Roman" w:eastAsia="宋体"/>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9" w:type="pct"/>
                  <w:vMerge w:val="restart"/>
                  <w:tcBorders>
                    <w:tl2br w:val="nil"/>
                    <w:tr2bl w:val="nil"/>
                  </w:tcBorders>
                  <w:vAlign w:val="center"/>
                </w:tcPr>
                <w:p>
                  <w:pPr>
                    <w:spacing w:line="240" w:lineRule="auto"/>
                    <w:jc w:val="center"/>
                    <w:rPr>
                      <w:rFonts w:ascii="Times New Roman" w:hAnsi="Times New Roman" w:eastAsia="宋体"/>
                      <w:sz w:val="21"/>
                      <w:szCs w:val="21"/>
                    </w:rPr>
                  </w:pPr>
                  <w:r>
                    <w:rPr>
                      <w:rFonts w:hint="eastAsia" w:ascii="Times New Roman" w:hAnsi="Times New Roman" w:eastAsia="宋体"/>
                      <w:sz w:val="21"/>
                      <w:szCs w:val="21"/>
                    </w:rPr>
                    <w:t>地下车库废气</w:t>
                  </w:r>
                </w:p>
              </w:tc>
              <w:tc>
                <w:tcPr>
                  <w:tcW w:w="709"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二氧化硫</w:t>
                  </w:r>
                </w:p>
              </w:tc>
              <w:tc>
                <w:tcPr>
                  <w:tcW w:w="1412"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0.40</w:t>
                  </w:r>
                  <w:r>
                    <w:rPr>
                      <w:rFonts w:hint="eastAsia" w:ascii="Times New Roman" w:hAnsi="Times New Roman" w:eastAsia="宋体"/>
                      <w:sz w:val="21"/>
                      <w:szCs w:val="21"/>
                    </w:rPr>
                    <w:t>mg/m</w:t>
                  </w:r>
                  <w:r>
                    <w:rPr>
                      <w:rFonts w:hint="eastAsia" w:ascii="Times New Roman" w:hAnsi="Times New Roman" w:eastAsia="宋体"/>
                      <w:sz w:val="21"/>
                      <w:szCs w:val="21"/>
                      <w:vertAlign w:val="superscript"/>
                    </w:rPr>
                    <w:t>3</w:t>
                  </w:r>
                </w:p>
              </w:tc>
              <w:tc>
                <w:tcPr>
                  <w:tcW w:w="2169" w:type="pct"/>
                  <w:vMerge w:val="restar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《大气污染物综合排放标准》（GB16297-1996）中的二级标准及无组织排放标准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9" w:type="pct"/>
                  <w:vMerge w:val="continue"/>
                  <w:tcBorders>
                    <w:tl2br w:val="nil"/>
                    <w:tr2bl w:val="nil"/>
                  </w:tcBorders>
                  <w:vAlign w:val="center"/>
                </w:tcPr>
                <w:p>
                  <w:pPr>
                    <w:spacing w:line="240" w:lineRule="auto"/>
                    <w:jc w:val="left"/>
                    <w:rPr>
                      <w:rFonts w:ascii="Times New Roman" w:hAnsi="Times New Roman" w:eastAsia="宋体"/>
                      <w:sz w:val="21"/>
                      <w:szCs w:val="21"/>
                    </w:rPr>
                  </w:pPr>
                </w:p>
              </w:tc>
              <w:tc>
                <w:tcPr>
                  <w:tcW w:w="709"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氮氧化物</w:t>
                  </w:r>
                </w:p>
              </w:tc>
              <w:tc>
                <w:tcPr>
                  <w:tcW w:w="1412"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0.12</w:t>
                  </w:r>
                  <w:r>
                    <w:rPr>
                      <w:rFonts w:hint="eastAsia" w:ascii="Times New Roman" w:hAnsi="Times New Roman" w:eastAsia="宋体"/>
                      <w:sz w:val="21"/>
                      <w:szCs w:val="21"/>
                    </w:rPr>
                    <w:t>mg/m</w:t>
                  </w:r>
                  <w:r>
                    <w:rPr>
                      <w:rFonts w:hint="eastAsia" w:ascii="Times New Roman" w:hAnsi="Times New Roman" w:eastAsia="宋体"/>
                      <w:sz w:val="21"/>
                      <w:szCs w:val="21"/>
                      <w:vertAlign w:val="superscript"/>
                    </w:rPr>
                    <w:t>3</w:t>
                  </w:r>
                </w:p>
              </w:tc>
              <w:tc>
                <w:tcPr>
                  <w:tcW w:w="2169" w:type="pct"/>
                  <w:vMerge w:val="continue"/>
                  <w:tcBorders>
                    <w:tl2br w:val="nil"/>
                    <w:tr2bl w:val="nil"/>
                  </w:tcBorders>
                  <w:vAlign w:val="center"/>
                </w:tcPr>
                <w:p>
                  <w:pPr>
                    <w:spacing w:line="240" w:lineRule="auto"/>
                    <w:jc w:val="left"/>
                    <w:rPr>
                      <w:rFonts w:ascii="Times New Roman" w:hAnsi="Times New Roman" w:eastAsia="宋体"/>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9" w:type="pct"/>
                  <w:vMerge w:val="continue"/>
                  <w:tcBorders>
                    <w:tl2br w:val="nil"/>
                    <w:tr2bl w:val="nil"/>
                  </w:tcBorders>
                  <w:vAlign w:val="center"/>
                </w:tcPr>
                <w:p>
                  <w:pPr>
                    <w:spacing w:line="240" w:lineRule="auto"/>
                    <w:jc w:val="left"/>
                    <w:rPr>
                      <w:rFonts w:ascii="Times New Roman" w:hAnsi="Times New Roman" w:eastAsia="宋体"/>
                      <w:sz w:val="21"/>
                      <w:szCs w:val="21"/>
                    </w:rPr>
                  </w:pPr>
                </w:p>
              </w:tc>
              <w:tc>
                <w:tcPr>
                  <w:tcW w:w="709"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颗粒物</w:t>
                  </w:r>
                </w:p>
              </w:tc>
              <w:tc>
                <w:tcPr>
                  <w:tcW w:w="1412" w:type="pct"/>
                  <w:tcBorders>
                    <w:tl2br w:val="nil"/>
                    <w:tr2bl w:val="nil"/>
                  </w:tcBorders>
                  <w:vAlign w:val="center"/>
                </w:tcPr>
                <w:p>
                  <w:pPr>
                    <w:spacing w:line="240" w:lineRule="auto"/>
                    <w:jc w:val="center"/>
                    <w:rPr>
                      <w:rFonts w:ascii="Times New Roman" w:hAnsi="Times New Roman" w:eastAsia="宋体"/>
                      <w:sz w:val="21"/>
                      <w:szCs w:val="21"/>
                    </w:rPr>
                  </w:pPr>
                  <w:r>
                    <w:rPr>
                      <w:rFonts w:ascii="Times New Roman" w:hAnsi="Times New Roman" w:eastAsia="宋体" w:cs="Times New Roman"/>
                      <w:sz w:val="21"/>
                      <w:szCs w:val="21"/>
                    </w:rPr>
                    <w:t>1.0</w:t>
                  </w:r>
                  <w:r>
                    <w:rPr>
                      <w:rFonts w:hint="eastAsia" w:ascii="Times New Roman" w:hAnsi="Times New Roman" w:eastAsia="宋体"/>
                      <w:sz w:val="21"/>
                      <w:szCs w:val="21"/>
                    </w:rPr>
                    <w:t>mg/m</w:t>
                  </w:r>
                  <w:r>
                    <w:rPr>
                      <w:rFonts w:hint="eastAsia" w:ascii="Times New Roman" w:hAnsi="Times New Roman" w:eastAsia="宋体"/>
                      <w:sz w:val="21"/>
                      <w:szCs w:val="21"/>
                      <w:vertAlign w:val="superscript"/>
                    </w:rPr>
                    <w:t>3</w:t>
                  </w:r>
                </w:p>
              </w:tc>
              <w:tc>
                <w:tcPr>
                  <w:tcW w:w="2169" w:type="pct"/>
                  <w:vMerge w:val="continue"/>
                  <w:tcBorders>
                    <w:tl2br w:val="nil"/>
                    <w:tr2bl w:val="nil"/>
                  </w:tcBorders>
                  <w:vAlign w:val="center"/>
                </w:tcPr>
                <w:p>
                  <w:pPr>
                    <w:spacing w:line="240" w:lineRule="auto"/>
                    <w:jc w:val="left"/>
                    <w:rPr>
                      <w:rFonts w:ascii="Times New Roman" w:hAnsi="Times New Roman" w:eastAsia="宋体"/>
                      <w:sz w:val="21"/>
                      <w:szCs w:val="21"/>
                    </w:rPr>
                  </w:pPr>
                </w:p>
              </w:tc>
            </w:tr>
          </w:tbl>
          <w:p>
            <w:pPr>
              <w:pStyle w:val="5"/>
              <w:ind w:firstLine="562"/>
              <w:outlineLvl w:val="1"/>
              <w:rPr>
                <w:rFonts w:cs="Times New Roman"/>
              </w:rPr>
            </w:pPr>
            <w:bookmarkStart w:id="32" w:name="_Toc34059504"/>
            <w:r>
              <w:rPr>
                <w:rFonts w:cs="Times New Roman"/>
              </w:rPr>
              <w:t>3、噪声</w:t>
            </w:r>
            <w:bookmarkEnd w:id="32"/>
          </w:p>
          <w:p>
            <w:pPr>
              <w:ind w:firstLine="480" w:firstLineChars="200"/>
              <w:rPr>
                <w:rFonts w:ascii="Times New Roman" w:hAnsi="Times New Roman" w:cs="Times New Roman"/>
              </w:rPr>
            </w:pPr>
            <w:r>
              <w:rPr>
                <w:rFonts w:ascii="Times New Roman" w:hAnsi="Times New Roman" w:cs="Times New Roman"/>
              </w:rPr>
              <w:t>施工期执行《建筑施工厂界环境噪声排放标准》(GB12523-2011)标准；</w:t>
            </w:r>
          </w:p>
          <w:p>
            <w:pPr>
              <w:ind w:firstLine="480" w:firstLineChars="200"/>
              <w:rPr>
                <w:rFonts w:ascii="Times New Roman" w:hAnsi="Times New Roman" w:cs="Times New Roman"/>
              </w:rPr>
            </w:pPr>
            <w:r>
              <w:rPr>
                <w:rFonts w:ascii="Times New Roman" w:hAnsi="Times New Roman" w:cs="Times New Roman"/>
              </w:rPr>
              <w:t>营运期执行《社会生活环境噪声排放标准》（GB22337-2008）中的2类标准。</w:t>
            </w:r>
          </w:p>
          <w:p>
            <w:pPr>
              <w:spacing w:line="240" w:lineRule="auto"/>
              <w:jc w:val="center"/>
              <w:rPr>
                <w:rFonts w:ascii="Times New Roman" w:hAnsi="Times New Roman" w:eastAsia="宋体" w:cs="Times New Roman"/>
                <w:b/>
                <w:szCs w:val="24"/>
              </w:rPr>
            </w:pPr>
            <w:r>
              <w:rPr>
                <w:rFonts w:ascii="Times New Roman" w:hAnsi="Times New Roman" w:eastAsia="宋体" w:cs="Times New Roman"/>
                <w:b/>
                <w:szCs w:val="24"/>
              </w:rPr>
              <w:t>表4-</w:t>
            </w:r>
            <w:r>
              <w:rPr>
                <w:rFonts w:hint="eastAsia" w:ascii="Times New Roman" w:hAnsi="Times New Roman" w:eastAsia="宋体" w:cs="Times New Roman"/>
                <w:b/>
                <w:szCs w:val="24"/>
              </w:rPr>
              <w:t>7</w:t>
            </w:r>
            <w:r>
              <w:rPr>
                <w:rFonts w:ascii="Times New Roman" w:hAnsi="Times New Roman" w:eastAsia="宋体" w:cs="Times New Roman"/>
                <w:b/>
                <w:szCs w:val="24"/>
              </w:rPr>
              <w:t xml:space="preserve">  噪声排放标准（Leq dB(A)）</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3256"/>
              <w:gridCol w:w="908"/>
              <w:gridCol w:w="910"/>
              <w:gridCol w:w="21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11" w:type="dxa"/>
                  <w:gridSpan w:val="2"/>
                  <w:vMerge w:val="restart"/>
                  <w:vAlign w:val="center"/>
                </w:tcPr>
                <w:p>
                  <w:pPr>
                    <w:spacing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标准级（类）别</w:t>
                  </w:r>
                </w:p>
              </w:tc>
              <w:tc>
                <w:tcPr>
                  <w:tcW w:w="1818" w:type="dxa"/>
                  <w:gridSpan w:val="2"/>
                  <w:vAlign w:val="center"/>
                </w:tcPr>
                <w:p>
                  <w:pPr>
                    <w:spacing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标准限值</w:t>
                  </w:r>
                </w:p>
              </w:tc>
              <w:tc>
                <w:tcPr>
                  <w:tcW w:w="2175" w:type="dxa"/>
                  <w:vMerge w:val="restart"/>
                  <w:vAlign w:val="center"/>
                </w:tcPr>
                <w:p>
                  <w:pPr>
                    <w:spacing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11" w:type="dxa"/>
                  <w:gridSpan w:val="2"/>
                  <w:vMerge w:val="continue"/>
                  <w:tcBorders>
                    <w:bottom w:val="single" w:color="auto" w:sz="12" w:space="0"/>
                  </w:tcBorders>
                  <w:vAlign w:val="center"/>
                </w:tcPr>
                <w:p>
                  <w:pPr>
                    <w:spacing w:line="240" w:lineRule="auto"/>
                    <w:jc w:val="center"/>
                    <w:rPr>
                      <w:rFonts w:ascii="Times New Roman" w:hAnsi="Times New Roman" w:eastAsia="宋体" w:cs="Times New Roman"/>
                      <w:sz w:val="21"/>
                      <w:szCs w:val="21"/>
                    </w:rPr>
                  </w:pPr>
                </w:p>
              </w:tc>
              <w:tc>
                <w:tcPr>
                  <w:tcW w:w="908" w:type="dxa"/>
                  <w:tcBorders>
                    <w:bottom w:val="single" w:color="auto" w:sz="12" w:space="0"/>
                  </w:tcBorders>
                  <w:vAlign w:val="center"/>
                </w:tcPr>
                <w:p>
                  <w:pPr>
                    <w:spacing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昼间</w:t>
                  </w:r>
                </w:p>
              </w:tc>
              <w:tc>
                <w:tcPr>
                  <w:tcW w:w="910" w:type="dxa"/>
                  <w:tcBorders>
                    <w:bottom w:val="single" w:color="auto" w:sz="12" w:space="0"/>
                  </w:tcBorders>
                  <w:vAlign w:val="center"/>
                </w:tcPr>
                <w:p>
                  <w:pPr>
                    <w:spacing w:line="240" w:lineRule="auto"/>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夜间</w:t>
                  </w:r>
                </w:p>
              </w:tc>
              <w:tc>
                <w:tcPr>
                  <w:tcW w:w="2175" w:type="dxa"/>
                  <w:vMerge w:val="continue"/>
                  <w:tcBorders>
                    <w:bottom w:val="single" w:color="auto" w:sz="12" w:space="0"/>
                  </w:tcBorders>
                  <w:vAlign w:val="center"/>
                </w:tcPr>
                <w:p>
                  <w:pPr>
                    <w:spacing w:line="240" w:lineRule="auto"/>
                    <w:jc w:val="center"/>
                    <w:rPr>
                      <w:rFonts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55" w:type="dxa"/>
                  <w:tcBorders>
                    <w:top w:val="single" w:color="auto" w:sz="12" w:space="0"/>
                    <w:bottom w:val="single" w:color="auto" w:sz="4" w:space="0"/>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施工期</w:t>
                  </w:r>
                </w:p>
              </w:tc>
              <w:tc>
                <w:tcPr>
                  <w:tcW w:w="3256" w:type="dxa"/>
                  <w:tcBorders>
                    <w:top w:val="single" w:color="auto" w:sz="12" w:space="0"/>
                    <w:bottom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建筑施工厂界环境噪声排放标准</w:t>
                  </w:r>
                </w:p>
              </w:tc>
              <w:tc>
                <w:tcPr>
                  <w:tcW w:w="908" w:type="dxa"/>
                  <w:tcBorders>
                    <w:top w:val="single" w:color="auto" w:sz="12" w:space="0"/>
                    <w:bottom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70</w:t>
                  </w:r>
                </w:p>
              </w:tc>
              <w:tc>
                <w:tcPr>
                  <w:tcW w:w="910" w:type="dxa"/>
                  <w:tcBorders>
                    <w:top w:val="single" w:color="auto" w:sz="12" w:space="0"/>
                    <w:bottom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55</w:t>
                  </w:r>
                </w:p>
              </w:tc>
              <w:tc>
                <w:tcPr>
                  <w:tcW w:w="2175" w:type="dxa"/>
                  <w:tcBorders>
                    <w:top w:val="single" w:color="auto" w:sz="12" w:space="0"/>
                    <w:bottom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GB12523-2011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55" w:type="dxa"/>
                  <w:tcBorders>
                    <w:top w:val="single" w:color="auto" w:sz="4" w:space="0"/>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运营期</w:t>
                  </w:r>
                </w:p>
              </w:tc>
              <w:tc>
                <w:tcPr>
                  <w:tcW w:w="3256" w:type="dxa"/>
                  <w:tcBorders>
                    <w:top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2类</w:t>
                  </w:r>
                </w:p>
              </w:tc>
              <w:tc>
                <w:tcPr>
                  <w:tcW w:w="908" w:type="dxa"/>
                  <w:tcBorders>
                    <w:top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910" w:type="dxa"/>
                  <w:tcBorders>
                    <w:top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50</w:t>
                  </w:r>
                </w:p>
              </w:tc>
              <w:tc>
                <w:tcPr>
                  <w:tcW w:w="2175" w:type="dxa"/>
                  <w:tcBorders>
                    <w:top w:val="single" w:color="auto" w:sz="4"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GB22337-2008</w:t>
                  </w:r>
                </w:p>
              </w:tc>
            </w:tr>
          </w:tbl>
          <w:p>
            <w:pPr>
              <w:pStyle w:val="5"/>
              <w:ind w:firstLine="562"/>
              <w:outlineLvl w:val="1"/>
              <w:rPr>
                <w:rFonts w:cs="Times New Roman"/>
              </w:rPr>
            </w:pPr>
            <w:bookmarkStart w:id="33" w:name="_Toc34059505"/>
            <w:r>
              <w:rPr>
                <w:rFonts w:cs="Times New Roman"/>
              </w:rPr>
              <w:t>4、固体废物</w:t>
            </w:r>
            <w:bookmarkEnd w:id="33"/>
          </w:p>
          <w:p>
            <w:pPr>
              <w:ind w:firstLine="480" w:firstLineChars="200"/>
              <w:rPr>
                <w:rFonts w:ascii="Times New Roman" w:hAnsi="Times New Roman" w:cs="Times New Roman"/>
              </w:rPr>
            </w:pPr>
            <w:r>
              <w:rPr>
                <w:rFonts w:ascii="Times New Roman" w:hAnsi="Times New Roman" w:cs="Times New Roman"/>
              </w:rPr>
              <w:t>固废：一般固废执行《一般工业固体废物贮存、处置场污染物控制标准》(B18599-2001)及其修改单。危废执行《危险废物贮存污染控制标准》（GB18597-2001）及其修改单（2013年）的有关规定。生活垃圾执行《生活垃圾填埋污染控制标准》(GB16889-2008)。医疗废物执行《医疗废物管理条例》（2011年修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2" w:type="dxa"/>
            <w:tcBorders>
              <w:tl2br w:val="nil"/>
              <w:tr2bl w:val="nil"/>
            </w:tcBorders>
            <w:vAlign w:val="center"/>
          </w:tcPr>
          <w:p>
            <w:pPr>
              <w:jc w:val="center"/>
              <w:rPr>
                <w:rFonts w:ascii="Times New Roman" w:hAnsi="Times New Roman" w:cs="Times New Roman"/>
              </w:rPr>
            </w:pPr>
            <w:r>
              <w:rPr>
                <w:rFonts w:ascii="Times New Roman" w:hAnsi="Times New Roman" w:cs="Times New Roman"/>
              </w:rPr>
              <w:t>总量控制指标</w:t>
            </w:r>
          </w:p>
        </w:tc>
        <w:tc>
          <w:tcPr>
            <w:tcW w:w="8866" w:type="dxa"/>
            <w:tcBorders>
              <w:tl2br w:val="nil"/>
              <w:tr2bl w:val="nil"/>
            </w:tcBorders>
          </w:tcPr>
          <w:p>
            <w:pPr>
              <w:widowControl/>
              <w:ind w:firstLine="482" w:firstLineChars="200"/>
              <w:jc w:val="left"/>
              <w:rPr>
                <w:rFonts w:ascii="Times New Roman" w:hAnsi="Times New Roman" w:cs="Times New Roman"/>
                <w:b/>
                <w:bCs/>
              </w:rPr>
            </w:pPr>
            <w:r>
              <w:rPr>
                <w:rFonts w:ascii="Times New Roman" w:hAnsi="Times New Roman" w:eastAsia="宋体" w:cs="Times New Roman"/>
                <w:b/>
                <w:bCs/>
                <w:color w:val="000000"/>
                <w:kern w:val="0"/>
                <w:szCs w:val="24"/>
                <w:lang w:bidi="ar"/>
              </w:rPr>
              <w:t>项目总量控制指标如下：</w:t>
            </w:r>
          </w:p>
          <w:p>
            <w:pPr>
              <w:ind w:firstLine="480" w:firstLineChars="200"/>
              <w:rPr>
                <w:rFonts w:ascii="Times New Roman" w:hAnsi="Times New Roman" w:cs="Times New Roman"/>
              </w:rPr>
            </w:pPr>
            <w:r>
              <w:rPr>
                <w:rFonts w:hint="eastAsia" w:ascii="Times New Roman" w:hAnsi="Times New Roman" w:cs="Times New Roman"/>
              </w:rPr>
              <w:t>如项目运营前，项目所在区域污水管网还未与罗家坡污水处理厂接通，则木里港学校的污水经自建的污水处理站处理，处理达《城镇污水处理厂污染物排放标准》（GB18918-2002）中一级A标准后排入北港河，其总量控制指标为：</w:t>
            </w:r>
            <w:r>
              <w:rPr>
                <w:rFonts w:ascii="Times New Roman" w:hAnsi="Times New Roman" w:cs="Times New Roman"/>
              </w:rPr>
              <w:t>CODcr：2.13678t/a</w:t>
            </w:r>
            <w:r>
              <w:rPr>
                <w:rFonts w:hint="eastAsia" w:ascii="Times New Roman" w:hAnsi="Times New Roman" w:cs="Times New Roman"/>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-N</w:t>
            </w:r>
            <w:r>
              <w:rPr>
                <w:rFonts w:hint="eastAsia" w:ascii="Times New Roman" w:hAnsi="Times New Roman" w:cs="Times New Roman"/>
              </w:rPr>
              <w:t>：</w:t>
            </w:r>
            <w:r>
              <w:rPr>
                <w:rFonts w:ascii="Times New Roman" w:hAnsi="Times New Roman" w:cs="Times New Roman"/>
              </w:rPr>
              <w:t>0.1877t/a</w:t>
            </w:r>
            <w:r>
              <w:rPr>
                <w:rFonts w:hint="eastAsia" w:ascii="Times New Roman" w:hAnsi="Times New Roman" w:cs="Times New Roman"/>
              </w:rPr>
              <w:t>。</w:t>
            </w:r>
          </w:p>
          <w:p>
            <w:pPr>
              <w:ind w:firstLine="480" w:firstLineChars="200"/>
              <w:rPr>
                <w:rFonts w:ascii="Times New Roman" w:hAnsi="Times New Roman" w:cs="Times New Roman"/>
              </w:rPr>
            </w:pPr>
            <w:r>
              <w:rPr>
                <w:rFonts w:hint="eastAsia" w:ascii="Times New Roman" w:hAnsi="Times New Roman" w:cs="Times New Roman"/>
              </w:rPr>
              <w:t>2、如项目所在地污水管网已与污水处理厂接通，则项目污水排至罗家坡污水处理厂处理，出水水质达《城镇污水处理厂污染物排放标准》（GB18918-2002）中一级A标准后排入北港河，其总量控制指标为：</w:t>
            </w:r>
            <w:r>
              <w:rPr>
                <w:rFonts w:ascii="Times New Roman" w:hAnsi="Times New Roman" w:cs="Times New Roman"/>
              </w:rPr>
              <w:t>CODcr：2.229t/a</w:t>
            </w:r>
            <w:r>
              <w:rPr>
                <w:rFonts w:hint="eastAsia" w:ascii="Times New Roman" w:hAnsi="Times New Roman" w:cs="Times New Roman"/>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-N</w:t>
            </w:r>
            <w:r>
              <w:rPr>
                <w:rFonts w:hint="eastAsia" w:ascii="Times New Roman" w:hAnsi="Times New Roman" w:cs="Times New Roman"/>
              </w:rPr>
              <w:t>：</w:t>
            </w:r>
            <w:r>
              <w:rPr>
                <w:rFonts w:ascii="Times New Roman" w:hAnsi="Times New Roman" w:cs="Times New Roman"/>
              </w:rPr>
              <w:t>0.2282t/a</w:t>
            </w:r>
            <w:r>
              <w:rPr>
                <w:rFonts w:hint="eastAsia" w:ascii="Times New Roman" w:hAnsi="Times New Roman" w:cs="Times New Roman"/>
              </w:rPr>
              <w:t>。</w:t>
            </w:r>
          </w:p>
        </w:tc>
      </w:tr>
    </w:tbl>
    <w:p/>
    <w:p>
      <w:pPr>
        <w:pStyle w:val="4"/>
      </w:pPr>
    </w:p>
    <w:p/>
    <w:p>
      <w:pPr>
        <w:pStyle w:val="4"/>
      </w:pPr>
    </w:p>
    <w:p/>
    <w:p>
      <w:pPr>
        <w:pStyle w:val="4"/>
      </w:pPr>
    </w:p>
    <w:p/>
    <w:p>
      <w:pPr>
        <w:pStyle w:val="4"/>
      </w:pPr>
    </w:p>
    <w:p/>
    <w:p>
      <w:pPr>
        <w:pStyle w:val="4"/>
      </w:pPr>
    </w:p>
    <w:p/>
    <w:p>
      <w:pPr>
        <w:pStyle w:val="4"/>
      </w:pPr>
    </w:p>
    <w:p/>
    <w:p>
      <w:pPr>
        <w:pStyle w:val="4"/>
      </w:pPr>
    </w:p>
    <w:p/>
    <w:p>
      <w:pPr>
        <w:pStyle w:val="4"/>
      </w:pPr>
    </w:p>
    <w:p/>
    <w:p>
      <w:pPr>
        <w:pStyle w:val="4"/>
      </w:pPr>
      <w:bookmarkStart w:id="34" w:name="_Toc34059506"/>
      <w:r>
        <w:rPr>
          <w:rFonts w:hint="eastAsia"/>
        </w:rPr>
        <w:t>五、建设项目工程分析</w:t>
      </w:r>
      <w:bookmarkEnd w:id="34"/>
    </w:p>
    <w:tbl>
      <w:tblPr>
        <w:tblStyle w:val="23"/>
        <w:tblW w:w="5000"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autofit"/>
        <w:tblCellMar>
          <w:top w:w="0" w:type="dxa"/>
          <w:left w:w="85" w:type="dxa"/>
          <w:bottom w:w="0" w:type="dxa"/>
          <w:right w:w="85" w:type="dxa"/>
        </w:tblCellMar>
      </w:tblPr>
      <w:tblGrid>
        <w:gridCol w:w="847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85" w:type="dxa"/>
            <w:bottom w:w="0" w:type="dxa"/>
            <w:right w:w="85" w:type="dxa"/>
          </w:tblCellMar>
        </w:tblPrEx>
        <w:trPr>
          <w:trHeight w:val="7784" w:hRule="atLeast"/>
          <w:jc w:val="center"/>
        </w:trPr>
        <w:tc>
          <w:tcPr>
            <w:tcW w:w="5000" w:type="pct"/>
          </w:tcPr>
          <w:p>
            <w:pPr>
              <w:pStyle w:val="5"/>
              <w:ind w:firstLine="562"/>
              <w:rPr>
                <w:rFonts w:eastAsia="黑体" w:cs="Times New Roman"/>
                <w:sz w:val="30"/>
                <w:szCs w:val="30"/>
              </w:rPr>
            </w:pPr>
            <w:bookmarkStart w:id="35" w:name="_Toc34059507"/>
            <w:r>
              <mc:AlternateContent>
                <mc:Choice Requires="wps">
                  <w:drawing>
                    <wp:anchor distT="0" distB="0" distL="114300" distR="114300" simplePos="0" relativeHeight="251659264" behindDoc="0" locked="0" layoutInCell="0" allowOverlap="1">
                      <wp:simplePos x="0" y="0"/>
                      <wp:positionH relativeFrom="column">
                        <wp:posOffset>-1511300</wp:posOffset>
                      </wp:positionH>
                      <wp:positionV relativeFrom="paragraph">
                        <wp:posOffset>3279775</wp:posOffset>
                      </wp:positionV>
                      <wp:extent cx="635" cy="361950"/>
                      <wp:effectExtent l="37465" t="0" r="38100" b="0"/>
                      <wp:wrapNone/>
                      <wp:docPr id="3" name="直接连接符 3"/>
                      <wp:cNvGraphicFramePr/>
                      <a:graphic xmlns:a="http://schemas.openxmlformats.org/drawingml/2006/main">
                        <a:graphicData uri="http://schemas.microsoft.com/office/word/2010/wordprocessingShape">
                          <wps:wsp>
                            <wps:cNvCnPr/>
                            <wps:spPr>
                              <a:xfrm>
                                <a:off x="0" y="0"/>
                                <a:ext cx="635" cy="3619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19pt;margin-top:258.25pt;height:28.5pt;width:0.05pt;z-index:251659264;mso-width-relative:page;mso-height-relative:page;" filled="f" stroked="t" coordsize="21600,21600" o:allowincell="f" o:gfxdata="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7M43S3QAAAA0BAAAP&#10;AAAAAAAAAAEAIAAAACIAAABkcnMvZG93bnJldi54bWxQSwECFAAUAAAACACHTuJAoOvcAdoBAACP&#10;AwAADgAAAAAAAAABACAAAAAsAQAAZHJzL2Uyb0RvYy54bWxQSwUGAAAAAAYABgBZAQAAeA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7216" behindDoc="0" locked="0" layoutInCell="0" allowOverlap="1">
                      <wp:simplePos x="0" y="0"/>
                      <wp:positionH relativeFrom="column">
                        <wp:posOffset>-1422400</wp:posOffset>
                      </wp:positionH>
                      <wp:positionV relativeFrom="paragraph">
                        <wp:posOffset>2555875</wp:posOffset>
                      </wp:positionV>
                      <wp:extent cx="635" cy="361950"/>
                      <wp:effectExtent l="37465" t="0" r="38100" b="0"/>
                      <wp:wrapNone/>
                      <wp:docPr id="4" name="直接连接符 4"/>
                      <wp:cNvGraphicFramePr/>
                      <a:graphic xmlns:a="http://schemas.openxmlformats.org/drawingml/2006/main">
                        <a:graphicData uri="http://schemas.microsoft.com/office/word/2010/wordprocessingShape">
                          <wps:wsp>
                            <wps:cNvCnPr/>
                            <wps:spPr>
                              <a:xfrm>
                                <a:off x="0" y="0"/>
                                <a:ext cx="635" cy="3619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12pt;margin-top:201.25pt;height:28.5pt;width:0.05pt;z-index:251657216;mso-width-relative:page;mso-height-relative:page;" filled="f" stroked="t" coordsize="21600,21600" o:allowincell="f" o:gfxdata="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KEd9N0AAAANAQAA&#10;DwAAAAAAAAABACAAAAAiAAAAZHJzL2Rvd25yZXYueG1sUEsBAhQAFAAAAAgAh07iQI9mggnbAQAA&#10;jwMAAA4AAAAAAAAAAQAgAAAALAEAAGRycy9lMm9Eb2MueG1sUEsFBgAAAAAGAAYAWQEAAHkFAAAA&#10;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55168" behindDoc="0" locked="0" layoutInCell="0" allowOverlap="1">
                      <wp:simplePos x="0" y="0"/>
                      <wp:positionH relativeFrom="column">
                        <wp:posOffset>-1244600</wp:posOffset>
                      </wp:positionH>
                      <wp:positionV relativeFrom="paragraph">
                        <wp:posOffset>2073275</wp:posOffset>
                      </wp:positionV>
                      <wp:extent cx="635" cy="361950"/>
                      <wp:effectExtent l="37465" t="0" r="38100" b="0"/>
                      <wp:wrapNone/>
                      <wp:docPr id="1" name="直接连接符 1"/>
                      <wp:cNvGraphicFramePr/>
                      <a:graphic xmlns:a="http://schemas.openxmlformats.org/drawingml/2006/main">
                        <a:graphicData uri="http://schemas.microsoft.com/office/word/2010/wordprocessingShape">
                          <wps:wsp>
                            <wps:cNvCnPr/>
                            <wps:spPr>
                              <a:xfrm>
                                <a:off x="0" y="0"/>
                                <a:ext cx="635" cy="3619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98pt;margin-top:163.25pt;height:28.5pt;width:0.05pt;z-index:251655168;mso-width-relative:page;mso-height-relative:page;" filled="f" stroked="t" coordsize="21600,21600" o:allowincell="f" o:gfxdata="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wf/nG3QAAAA0BAAAP&#10;AAAAAAAAAAEAIAAAACIAAABkcnMvZG93bnJldi54bWxQSwECFAAUAAAACACHTuJA5FoYjdoBAACP&#10;AwAADgAAAAAAAAABACAAAAAsAQAAZHJzL2Uyb0RvYy54bWxQSwUGAAAAAAYABgBZAQAAeAUAAAAA&#10;">
                      <v:fill on="f" focussize="0,0"/>
                      <v:stroke color="#000000" joinstyle="round" endarrow="block"/>
                      <v:imagedata o:title=""/>
                      <o:lock v:ext="edit" aspectratio="f"/>
                    </v:line>
                  </w:pict>
                </mc:Fallback>
              </mc:AlternateContent>
            </w:r>
            <w:r>
              <w:rPr>
                <w:rFonts w:hint="eastAsia"/>
              </w:rPr>
              <w:t>1、</w:t>
            </w:r>
            <w:r>
              <w:t>工艺流程及产污节点简述：</w:t>
            </w:r>
            <w:bookmarkEnd w:id="35"/>
            <w:r>
              <w:rPr>
                <w:rFonts w:eastAsia="黑体" w:cs="Times New Roman"/>
                <w:sz w:val="30"/>
                <w:szCs w:val="30"/>
              </w:rPr>
              <w:t xml:space="preserve"> </w:t>
            </w:r>
          </w:p>
          <w:p>
            <w:pPr>
              <w:pStyle w:val="6"/>
              <w:ind w:firstLine="482"/>
            </w:pPr>
            <w:bookmarkStart w:id="36" w:name="_Toc34059508"/>
            <w:r>
              <w:rPr>
                <w:rFonts w:hint="eastAsia"/>
              </w:rPr>
              <w:t>2.1</w:t>
            </w:r>
            <w:r>
              <w:t>施工期</w:t>
            </w:r>
            <w:bookmarkEnd w:id="36"/>
          </w:p>
          <w:p>
            <w:pPr>
              <w:ind w:firstLine="480" w:firstLineChars="200"/>
              <w:rPr>
                <w:rFonts w:ascii="Times New Roman" w:hAnsi="Times New Roman" w:cs="Times New Roman"/>
              </w:rPr>
            </w:pPr>
            <w:r>
              <w:rPr>
                <w:rFonts w:ascii="Times New Roman" w:hAnsi="Times New Roman" w:cs="Times New Roman"/>
              </w:rPr>
              <w:t>工程施工期包括场地平整、基础工程、主体工程、装饰工程、安装工程等，其工艺流程及产污环节见图5-1。</w:t>
            </w:r>
          </w:p>
          <w:p>
            <w:pPr>
              <w:pStyle w:val="31"/>
              <w:adjustRightInd/>
              <w:jc w:val="center"/>
              <w:rPr>
                <w:rFonts w:ascii="Times New Roman" w:hAnsi="Times New Roman"/>
                <w:color w:val="auto"/>
              </w:rPr>
            </w:pPr>
            <w:r>
              <w:rPr>
                <w:rFonts w:ascii="Times New Roman" w:hAnsi="Times New Roman"/>
                <w:color w:val="auto"/>
              </w:rPr>
              <w:object>
                <v:shape id="_x0000_i1025" o:spt="75" type="#_x0000_t75" style="height:103.2pt;width:415.2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spacing w:line="240" w:lineRule="auto"/>
              <w:jc w:val="center"/>
              <w:rPr>
                <w:rFonts w:ascii="Times New Roman" w:hAnsi="Times New Roman" w:cs="Times New Roman"/>
                <w:b/>
                <w:bCs/>
                <w:szCs w:val="24"/>
              </w:rPr>
            </w:pPr>
            <w:r>
              <w:rPr>
                <w:rFonts w:ascii="Times New Roman" w:hAnsi="Times New Roman" w:cs="Times New Roman"/>
                <w:b/>
                <w:bCs/>
                <w:szCs w:val="24"/>
              </w:rPr>
              <w:t>图5-1  施工期工艺流程及产污节点</w:t>
            </w:r>
          </w:p>
          <w:p>
            <w:pPr>
              <w:spacing w:line="360" w:lineRule="auto"/>
              <w:rPr>
                <w:rFonts w:ascii="Times New Roman" w:hAnsi="Times New Roman" w:cs="Times New Roman"/>
                <w:b/>
                <w:bCs/>
              </w:rPr>
            </w:pPr>
            <w:r>
              <w:rPr>
                <w:rFonts w:ascii="Times New Roman" w:hAnsi="Times New Roman" w:cs="Times New Roman"/>
                <w:b/>
                <w:bCs/>
              </w:rPr>
              <w:t>工艺流程简述</w:t>
            </w:r>
          </w:p>
          <w:p>
            <w:pPr>
              <w:ind w:firstLine="480" w:firstLineChars="200"/>
              <w:rPr>
                <w:rFonts w:ascii="Times New Roman" w:hAnsi="Times New Roman" w:cs="Times New Roman"/>
              </w:rPr>
            </w:pPr>
            <w:r>
              <w:rPr>
                <w:rFonts w:ascii="Times New Roman" w:hAnsi="Times New Roman" w:cs="Times New Roman"/>
              </w:rPr>
              <w:t>（1）场地平整和基础工程</w:t>
            </w:r>
          </w:p>
          <w:p>
            <w:pPr>
              <w:ind w:firstLine="480" w:firstLineChars="200"/>
              <w:rPr>
                <w:rFonts w:ascii="Times New Roman" w:hAnsi="Times New Roman" w:cs="Times New Roman"/>
              </w:rPr>
            </w:pPr>
            <w:r>
              <w:rPr>
                <w:rFonts w:ascii="Times New Roman" w:hAnsi="Times New Roman" w:cs="Times New Roman"/>
              </w:rPr>
              <w:t>本项目所在地为岳阳经济技术开发区木里港管理处新园社区</w:t>
            </w:r>
            <w:r>
              <w:rPr>
                <w:rFonts w:hint="eastAsia" w:ascii="Times New Roman" w:hAnsi="Times New Roman" w:cs="Times New Roman"/>
              </w:rPr>
              <w:t>，</w:t>
            </w:r>
            <w:r>
              <w:rPr>
                <w:rFonts w:ascii="Times New Roman" w:hAnsi="Times New Roman" w:cs="Times New Roman"/>
              </w:rPr>
              <w:t>需对项目场地进行平整。根据相关资料显示，建设项目将施工过程中产生的建筑垃圾、碎石、砂土、粘土共同用作填土材料。利用压路机分片压碾，并浇水湿润填土以利于密实。然后利用起重机械吊起特制的重锤来冲击基土表面，使地基受到压密，一般夯打为8~12遍。该工段主要污染物为施工机械产生的噪声、粉尘和排放的尾气。</w:t>
            </w:r>
          </w:p>
          <w:p>
            <w:pPr>
              <w:ind w:firstLine="480" w:firstLineChars="200"/>
              <w:rPr>
                <w:rFonts w:ascii="Times New Roman" w:hAnsi="Times New Roman" w:cs="Times New Roman"/>
              </w:rPr>
            </w:pPr>
            <w:r>
              <w:rPr>
                <w:rFonts w:ascii="Times New Roman" w:hAnsi="Times New Roman" w:cs="Times New Roman"/>
              </w:rPr>
              <w:t>（2）主体工程</w:t>
            </w:r>
          </w:p>
          <w:p>
            <w:pPr>
              <w:ind w:firstLine="480" w:firstLineChars="200"/>
              <w:rPr>
                <w:rFonts w:ascii="Times New Roman" w:hAnsi="Times New Roman" w:cs="Times New Roman"/>
              </w:rPr>
            </w:pPr>
            <w:r>
              <w:rPr>
                <w:rFonts w:ascii="Times New Roman" w:hAnsi="Times New Roman" w:cs="Times New Roman"/>
              </w:rPr>
              <w:t>建设项目主体工程主要为钻孔灌注，现浇钢砼柱、梁，砖墙砌筑。建设项目利用钻孔设备进行钻孔后，用钢筋混凝土浇灌。浇灌时注入预先拌制均匀的混凝土，随灌随振，振捣均匀，防止混凝土不实和素浆上浮。然后根据施工图纸，进行钢筋的配料和加工，安装于架好的模板之处，及时连续灌筑混凝土，并捣实使混凝土成型。建设项目在砖墙砌筑时，首先进行水泥砂浆的调配，然后再挂线砌筑。该工段工期较长，主要污染物为搅拌机产生的噪声、尾气，搅拌砂浆时的砂浆水，碎砖和废砂等固废。</w:t>
            </w:r>
          </w:p>
          <w:p>
            <w:pPr>
              <w:ind w:firstLine="480" w:firstLineChars="200"/>
              <w:rPr>
                <w:rFonts w:ascii="Times New Roman" w:hAnsi="Times New Roman" w:cs="Times New Roman"/>
              </w:rPr>
            </w:pPr>
            <w:r>
              <w:rPr>
                <w:rFonts w:ascii="Times New Roman" w:hAnsi="Times New Roman" w:cs="Times New Roman"/>
              </w:rPr>
              <w:t>（3）装饰工程</w:t>
            </w:r>
          </w:p>
          <w:p>
            <w:pPr>
              <w:ind w:firstLine="480" w:firstLineChars="200"/>
              <w:rPr>
                <w:rFonts w:ascii="Times New Roman" w:hAnsi="Times New Roman" w:cs="Times New Roman"/>
              </w:rPr>
            </w:pPr>
            <w:r>
              <w:rPr>
                <w:rFonts w:ascii="Times New Roman" w:hAnsi="Times New Roman" w:cs="Times New Roman"/>
              </w:rPr>
              <w:t>利用各种加工机械对木材、塑钢等按图进行加工，同时进行屋面制作，然后采浅色环保型高级涂料和浅灰色仿石涂料喷刷，最后对外露的铁件进行油漆施工，本工段时间较短，且使用的涂料和油漆量较少，有少量的有机废气挥发。</w:t>
            </w:r>
          </w:p>
          <w:p>
            <w:pPr>
              <w:ind w:firstLine="480" w:firstLineChars="200"/>
              <w:rPr>
                <w:rFonts w:ascii="Times New Roman" w:hAnsi="Times New Roman" w:cs="Times New Roman"/>
              </w:rPr>
            </w:pPr>
            <w:r>
              <w:rPr>
                <w:rFonts w:ascii="Times New Roman" w:hAnsi="Times New Roman" w:cs="Times New Roman"/>
              </w:rPr>
              <w:t>（4）设备安装</w:t>
            </w:r>
          </w:p>
          <w:p>
            <w:pPr>
              <w:ind w:firstLine="480" w:firstLineChars="200"/>
              <w:rPr>
                <w:rFonts w:ascii="Times New Roman" w:hAnsi="Times New Roman" w:cs="Times New Roman"/>
              </w:rPr>
            </w:pPr>
            <w:r>
              <w:rPr>
                <w:rFonts w:ascii="Times New Roman" w:hAnsi="Times New Roman" w:cs="Times New Roman"/>
              </w:rPr>
              <w:t>包括楼梯、道路、污水处理设施、雨污管网铺设、空调、课座椅等设备的安装施工，主要污染物是施工机械产生的噪声、尾气等。</w:t>
            </w:r>
          </w:p>
          <w:p>
            <w:pPr>
              <w:pStyle w:val="6"/>
              <w:ind w:firstLine="482"/>
            </w:pPr>
            <w:bookmarkStart w:id="37" w:name="_Toc34059509"/>
            <w:r>
              <w:rPr>
                <w:rFonts w:hint="eastAsia"/>
              </w:rPr>
              <w:t>2.2</w:t>
            </w:r>
            <w:r>
              <w:t>营运期</w:t>
            </w:r>
            <w:bookmarkEnd w:id="37"/>
          </w:p>
          <w:p>
            <w:pPr>
              <w:ind w:firstLine="480" w:firstLineChars="200"/>
              <w:rPr>
                <w:rFonts w:ascii="Times New Roman" w:hAnsi="Times New Roman" w:cs="Times New Roman"/>
              </w:rPr>
            </w:pPr>
            <w:r>
              <w:rPr>
                <w:rFonts w:ascii="Times New Roman" w:hAnsi="Times New Roman" w:cs="Times New Roman"/>
              </w:rPr>
              <w:t>本项目属于教育类项目，运营过程中产生的污染物主要是废水和固废，废气和噪声较少，其工艺流程及产污环节见图5-2。</w:t>
            </w:r>
          </w:p>
          <w:p>
            <w:pPr>
              <w:spacing w:line="240" w:lineRule="auto"/>
              <w:jc w:val="center"/>
              <w:rPr>
                <w:rFonts w:ascii="Times New Roman" w:hAnsi="Times New Roman" w:cs="Times New Roman"/>
                <w:szCs w:val="24"/>
              </w:rPr>
            </w:pPr>
            <w:r>
              <w:rPr>
                <w:rFonts w:ascii="Times New Roman" w:hAnsi="Times New Roman" w:cs="Times New Roman"/>
                <w:szCs w:val="24"/>
              </w:rPr>
              <w:object>
                <v:shape id="_x0000_i1026" o:spt="75" type="#_x0000_t75" style="height:323.4pt;width:357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spacing w:line="240" w:lineRule="auto"/>
              <w:jc w:val="center"/>
              <w:rPr>
                <w:rFonts w:ascii="Times New Roman" w:hAnsi="Times New Roman" w:cs="Times New Roman"/>
                <w:b/>
                <w:color w:val="000000" w:themeColor="text1"/>
                <w:kern w:val="0"/>
                <w:sz w:val="21"/>
                <w:szCs w:val="18"/>
                <w14:textFill>
                  <w14:solidFill>
                    <w14:schemeClr w14:val="tx1"/>
                  </w14:solidFill>
                </w14:textFill>
              </w:rPr>
            </w:pPr>
            <w:r>
              <w:rPr>
                <w:rFonts w:ascii="Times New Roman" w:hAnsi="Times New Roman" w:cs="Times New Roman"/>
                <w:b/>
                <w:color w:val="000000" w:themeColor="text1"/>
                <w:kern w:val="0"/>
                <w:szCs w:val="24"/>
                <w14:textFill>
                  <w14:solidFill>
                    <w14:schemeClr w14:val="tx1"/>
                  </w14:solidFill>
                </w14:textFill>
              </w:rPr>
              <w:t>图5-2  运营期工艺流程及产污节点</w:t>
            </w:r>
          </w:p>
          <w:p>
            <w:pPr>
              <w:spacing w:line="360" w:lineRule="auto"/>
              <w:rPr>
                <w:rFonts w:ascii="Times New Roman" w:hAnsi="Times New Roman" w:cs="Times New Roman"/>
                <w:b/>
                <w:bCs/>
              </w:rPr>
            </w:pPr>
            <w:r>
              <w:rPr>
                <w:rFonts w:ascii="Times New Roman" w:hAnsi="Times New Roman" w:cs="Times New Roman"/>
                <w:b/>
                <w:bCs/>
              </w:rPr>
              <w:t>工艺流程简述</w:t>
            </w:r>
          </w:p>
          <w:p>
            <w:pPr>
              <w:ind w:firstLine="480" w:firstLineChars="200"/>
              <w:rPr>
                <w:rFonts w:ascii="Times New Roman" w:hAnsi="Times New Roman" w:cs="Times New Roman"/>
              </w:rPr>
            </w:pPr>
            <w:r>
              <w:rPr>
                <w:rFonts w:ascii="Times New Roman" w:hAnsi="Times New Roman" w:cs="Times New Roman"/>
              </w:rPr>
              <w:t>本项目属于教育类项目，运营过程产生的污染物主要来自教职工、学生在学习生活工作中产生，污染物主要是废水和固废，废气和噪声较少，具体污染物种类如下所示：</w:t>
            </w:r>
          </w:p>
          <w:p>
            <w:pPr>
              <w:ind w:firstLine="480" w:firstLineChars="200"/>
              <w:rPr>
                <w:rFonts w:ascii="Times New Roman" w:hAnsi="Times New Roman" w:cs="Times New Roman"/>
              </w:rPr>
            </w:pPr>
            <w:r>
              <w:rPr>
                <w:rFonts w:ascii="Times New Roman" w:hAnsi="Times New Roman" w:cs="Times New Roman"/>
              </w:rPr>
              <w:t>大气污染物：油烟废气</w:t>
            </w:r>
            <w:r>
              <w:rPr>
                <w:rFonts w:hint="eastAsia" w:ascii="Times New Roman" w:hAnsi="Times New Roman" w:cs="Times New Roman"/>
              </w:rPr>
              <w:t>、</w:t>
            </w:r>
            <w:r>
              <w:rPr>
                <w:rFonts w:ascii="Times New Roman" w:hAnsi="Times New Roman" w:cs="Times New Roman"/>
              </w:rPr>
              <w:t>实验室废气、地下车库汽车尾气及</w:t>
            </w:r>
            <w:r>
              <w:rPr>
                <w:rFonts w:hint="eastAsia" w:ascii="Times New Roman" w:hAnsi="Times New Roman" w:cs="Times New Roman"/>
              </w:rPr>
              <w:t>污水处理站</w:t>
            </w:r>
            <w:r>
              <w:rPr>
                <w:rFonts w:ascii="Times New Roman" w:hAnsi="Times New Roman" w:cs="Times New Roman"/>
              </w:rPr>
              <w:t>臭气；</w:t>
            </w:r>
          </w:p>
          <w:p>
            <w:pPr>
              <w:ind w:firstLine="480" w:firstLineChars="200"/>
              <w:rPr>
                <w:rFonts w:ascii="Times New Roman" w:hAnsi="Times New Roman" w:cs="Times New Roman"/>
              </w:rPr>
            </w:pPr>
            <w:r>
              <w:rPr>
                <w:rFonts w:ascii="Times New Roman" w:hAnsi="Times New Roman" w:cs="Times New Roman"/>
              </w:rPr>
              <w:t>水污染物：生活污水、食堂废水、实验室废水；</w:t>
            </w:r>
          </w:p>
          <w:p>
            <w:pPr>
              <w:ind w:firstLine="480" w:firstLineChars="200"/>
              <w:rPr>
                <w:rFonts w:ascii="Times New Roman" w:hAnsi="Times New Roman" w:cs="Times New Roman"/>
              </w:rPr>
            </w:pPr>
            <w:r>
              <w:rPr>
                <w:rFonts w:ascii="Times New Roman" w:hAnsi="Times New Roman" w:cs="Times New Roman"/>
              </w:rPr>
              <w:t>噪声：汽车噪声、设备运行噪声以及教学生活噪声；</w:t>
            </w:r>
          </w:p>
          <w:p>
            <w:pPr>
              <w:ind w:firstLine="480" w:firstLineChars="200"/>
              <w:rPr>
                <w:rFonts w:ascii="Times New Roman" w:hAnsi="Times New Roman" w:cs="Times New Roman"/>
              </w:rPr>
            </w:pPr>
            <w:r>
              <w:rPr>
                <w:rFonts w:ascii="Times New Roman" w:hAnsi="Times New Roman" w:cs="Times New Roman"/>
              </w:rPr>
              <w:t>固废：生活垃圾、餐厨垃圾、实验室垃圾</w:t>
            </w:r>
            <w:r>
              <w:rPr>
                <w:rFonts w:hint="eastAsia" w:ascii="Times New Roman" w:hAnsi="Times New Roman" w:cs="Times New Roman"/>
              </w:rPr>
              <w:t>、医疗废物。</w:t>
            </w:r>
          </w:p>
          <w:p>
            <w:pPr>
              <w:pStyle w:val="6"/>
              <w:ind w:firstLine="482"/>
            </w:pPr>
            <w:bookmarkStart w:id="38" w:name="_Toc34059510"/>
            <w:r>
              <w:rPr>
                <w:rFonts w:hint="eastAsia"/>
              </w:rPr>
              <w:t>2.3</w:t>
            </w:r>
            <w:r>
              <w:t>水平衡</w:t>
            </w:r>
            <w:bookmarkEnd w:id="38"/>
          </w:p>
          <w:p>
            <w:pPr>
              <w:ind w:firstLine="480" w:firstLineChars="200"/>
              <w:rPr>
                <w:rFonts w:ascii="Times New Roman" w:hAnsi="Times New Roman" w:cs="Times New Roman"/>
              </w:rPr>
            </w:pPr>
            <w:r>
              <w:rPr>
                <w:rFonts w:ascii="Times New Roman" w:hAnsi="Times New Roman" w:cs="Times New Roman"/>
              </w:rPr>
              <w:t>本项目运营期主要用水为学生和教职工生活用水、食堂用水、实验室用水、绿化用水。项目用水统计表见表5-1，用水平衡表见表5-2，用水平衡图见图5-3。</w:t>
            </w:r>
          </w:p>
          <w:p>
            <w:pPr>
              <w:ind w:firstLine="480" w:firstLineChars="200"/>
              <w:rPr>
                <w:rFonts w:ascii="Times New Roman" w:hAnsi="Times New Roman" w:cs="Times New Roman"/>
              </w:rPr>
            </w:pPr>
            <w:r>
              <w:rPr>
                <w:rFonts w:ascii="Times New Roman" w:hAnsi="Times New Roman" w:cs="Times New Roman"/>
              </w:rPr>
              <w:t>（1）学生生活用水</w:t>
            </w:r>
          </w:p>
          <w:p>
            <w:pPr>
              <w:ind w:firstLine="480" w:firstLineChars="200"/>
              <w:rPr>
                <w:rFonts w:ascii="Times New Roman" w:hAnsi="Times New Roman" w:cs="Times New Roman"/>
              </w:rPr>
            </w:pPr>
            <w:r>
              <w:rPr>
                <w:rFonts w:ascii="Times New Roman" w:hAnsi="Times New Roman" w:cs="Times New Roman"/>
              </w:rPr>
              <w:t>根据建设单位提供的资料，项目建成后初中均采用全寄宿管理制度，故仅有</w:t>
            </w:r>
            <w:r>
              <w:rPr>
                <w:rFonts w:hint="eastAsia" w:ascii="Times New Roman" w:hAnsi="Times New Roman" w:cs="Times New Roman"/>
              </w:rPr>
              <w:t>初中部</w:t>
            </w:r>
            <w:r>
              <w:rPr>
                <w:rFonts w:ascii="Times New Roman" w:hAnsi="Times New Roman" w:cs="Times New Roman"/>
              </w:rPr>
              <w:t>寄宿学生日常用水</w:t>
            </w:r>
            <w:r>
              <w:rPr>
                <w:rFonts w:hint="eastAsia" w:ascii="Times New Roman" w:hAnsi="Times New Roman" w:cs="Times New Roman"/>
              </w:rPr>
              <w:t>和小学部综合用水</w:t>
            </w:r>
            <w:r>
              <w:rPr>
                <w:rFonts w:ascii="Times New Roman" w:hAnsi="Times New Roman" w:cs="Times New Roman"/>
              </w:rPr>
              <w:t>。其中小学学生为</w:t>
            </w:r>
            <w:r>
              <w:rPr>
                <w:rFonts w:hint="eastAsia" w:ascii="Times New Roman" w:hAnsi="Times New Roman" w:cs="Times New Roman"/>
              </w:rPr>
              <w:t>1620</w:t>
            </w:r>
            <w:r>
              <w:rPr>
                <w:rFonts w:ascii="Times New Roman" w:hAnsi="Times New Roman" w:cs="Times New Roman"/>
              </w:rPr>
              <w:t>人，用水量按</w:t>
            </w:r>
            <w:r>
              <w:rPr>
                <w:rFonts w:hint="eastAsia" w:ascii="Times New Roman" w:hAnsi="Times New Roman" w:cs="Times New Roman"/>
              </w:rPr>
              <w:t>50</w:t>
            </w:r>
            <w:r>
              <w:rPr>
                <w:rFonts w:ascii="Times New Roman" w:hAnsi="Times New Roman" w:cs="Times New Roman"/>
              </w:rPr>
              <w:t>L/人·d；初中学生为</w:t>
            </w:r>
            <w:r>
              <w:rPr>
                <w:rFonts w:hint="eastAsia" w:ascii="Times New Roman" w:hAnsi="Times New Roman" w:cs="Times New Roman"/>
              </w:rPr>
              <w:t>900</w:t>
            </w:r>
            <w:r>
              <w:rPr>
                <w:rFonts w:ascii="Times New Roman" w:hAnsi="Times New Roman" w:cs="Times New Roman"/>
              </w:rPr>
              <w:t>人，用水量按100L/人·d；年用水时间按2</w:t>
            </w:r>
            <w:r>
              <w:rPr>
                <w:rFonts w:hint="eastAsia" w:ascii="Times New Roman" w:hAnsi="Times New Roman" w:cs="Times New Roman"/>
              </w:rPr>
              <w:t>0</w:t>
            </w:r>
            <w:r>
              <w:rPr>
                <w:rFonts w:ascii="Times New Roman" w:hAnsi="Times New Roman" w:cs="Times New Roman"/>
              </w:rPr>
              <w:t>0天计，则寄宿学生用水量为</w:t>
            </w:r>
            <w:r>
              <w:rPr>
                <w:rFonts w:hint="eastAsia" w:ascii="Times New Roman" w:hAnsi="Times New Roman" w:cs="Times New Roman"/>
              </w:rPr>
              <w:t>90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18000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w:t>
            </w:r>
            <w:r>
              <w:rPr>
                <w:rFonts w:hint="eastAsia" w:ascii="Times New Roman" w:hAnsi="Times New Roman" w:cs="Times New Roman"/>
              </w:rPr>
              <w:t>；小学生综合用水量为81</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16200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生活污水产生系数按0.8计，则学生生活废水排放量约为</w:t>
            </w:r>
            <w:r>
              <w:rPr>
                <w:rFonts w:hint="eastAsia" w:ascii="Times New Roman" w:hAnsi="Times New Roman" w:cs="Times New Roman"/>
              </w:rPr>
              <w:t>136.8</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27360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w:t>
            </w:r>
          </w:p>
          <w:p>
            <w:pPr>
              <w:ind w:firstLine="48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教职工生活用水</w:t>
            </w:r>
          </w:p>
          <w:p>
            <w:pPr>
              <w:ind w:firstLine="480" w:firstLineChars="200"/>
              <w:rPr>
                <w:rFonts w:ascii="Times New Roman" w:hAnsi="Times New Roman" w:cs="Times New Roman"/>
              </w:rPr>
            </w:pPr>
            <w:r>
              <w:rPr>
                <w:rFonts w:ascii="Times New Roman" w:hAnsi="Times New Roman" w:cs="Times New Roman"/>
              </w:rPr>
              <w:t>建设项目拟定教职工人数</w:t>
            </w:r>
            <w:r>
              <w:rPr>
                <w:rFonts w:hint="eastAsia" w:ascii="Times New Roman" w:hAnsi="Times New Roman" w:cs="Times New Roman"/>
              </w:rPr>
              <w:t>170</w:t>
            </w:r>
            <w:r>
              <w:rPr>
                <w:rFonts w:ascii="Times New Roman" w:hAnsi="Times New Roman" w:cs="Times New Roman"/>
              </w:rPr>
              <w:t>人，不</w:t>
            </w:r>
            <w:r>
              <w:rPr>
                <w:rFonts w:hint="eastAsia" w:ascii="Times New Roman" w:hAnsi="Times New Roman" w:cs="Times New Roman"/>
              </w:rPr>
              <w:t>提供住宿，</w:t>
            </w:r>
            <w:r>
              <w:rPr>
                <w:rFonts w:ascii="Times New Roman" w:hAnsi="Times New Roman" w:cs="Times New Roman"/>
              </w:rPr>
              <w:t>教职工综合用水量按45L/人·d，年用水时间按2</w:t>
            </w:r>
            <w:r>
              <w:rPr>
                <w:rFonts w:hint="eastAsia" w:ascii="Times New Roman" w:hAnsi="Times New Roman" w:cs="Times New Roman"/>
              </w:rPr>
              <w:t>0</w:t>
            </w:r>
            <w:r>
              <w:rPr>
                <w:rFonts w:ascii="Times New Roman" w:hAnsi="Times New Roman" w:cs="Times New Roman"/>
              </w:rPr>
              <w:t>0天计，则教职工用水量为</w:t>
            </w:r>
            <w:r>
              <w:rPr>
                <w:rFonts w:hint="eastAsia" w:ascii="Times New Roman" w:hAnsi="Times New Roman" w:cs="Times New Roman"/>
              </w:rPr>
              <w:t>7.65</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1530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/a）。生活污水产生系数按0.8计，则教职工生活废水排放量约为</w:t>
            </w:r>
            <w:r>
              <w:rPr>
                <w:rFonts w:hint="eastAsia" w:ascii="Times New Roman" w:hAnsi="Times New Roman" w:cs="Times New Roman"/>
              </w:rPr>
              <w:t>6.12</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1224</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w:t>
            </w:r>
          </w:p>
          <w:p>
            <w:pPr>
              <w:ind w:firstLine="480" w:firstLineChars="200"/>
              <w:rPr>
                <w:rFonts w:ascii="Times New Roman" w:hAnsi="Times New Roman" w:cs="Times New Roman"/>
              </w:rPr>
            </w:pPr>
            <w:r>
              <w:rPr>
                <w:rFonts w:ascii="Times New Roman" w:hAnsi="Times New Roman" w:cs="Times New Roman"/>
              </w:rPr>
              <w:t>食堂用水</w:t>
            </w:r>
          </w:p>
          <w:p>
            <w:pPr>
              <w:ind w:firstLine="480" w:firstLineChars="200"/>
              <w:rPr>
                <w:rFonts w:ascii="Times New Roman" w:hAnsi="Times New Roman" w:cs="Times New Roman"/>
              </w:rPr>
            </w:pPr>
            <w:r>
              <w:rPr>
                <w:rFonts w:ascii="Times New Roman" w:hAnsi="Times New Roman" w:cs="Times New Roman"/>
              </w:rPr>
              <w:t>学校食堂按一日三餐计，其中</w:t>
            </w:r>
            <w:r>
              <w:rPr>
                <w:rFonts w:hint="eastAsia" w:ascii="Times New Roman" w:hAnsi="Times New Roman" w:cs="Times New Roman"/>
              </w:rPr>
              <w:t>寄宿学生</w:t>
            </w:r>
            <w:r>
              <w:rPr>
                <w:rFonts w:ascii="Times New Roman" w:hAnsi="Times New Roman" w:cs="Times New Roman"/>
              </w:rPr>
              <w:t>全部在食堂用餐（即3210次/d），非寄宿人员均在食堂用午餐（即3240次/d），食堂就餐人次按6450次/d，用水量按15L/次·d，年用水时间按2</w:t>
            </w:r>
            <w:r>
              <w:rPr>
                <w:rFonts w:hint="eastAsia" w:ascii="Times New Roman" w:hAnsi="Times New Roman" w:cs="Times New Roman"/>
              </w:rPr>
              <w:t>0</w:t>
            </w:r>
            <w:r>
              <w:rPr>
                <w:rFonts w:ascii="Times New Roman" w:hAnsi="Times New Roman" w:cs="Times New Roman"/>
              </w:rPr>
              <w:t>0天计，则食堂用水量为96.75m</w:t>
            </w:r>
            <w:r>
              <w:rPr>
                <w:rFonts w:ascii="Times New Roman" w:hAnsi="Times New Roman" w:cs="Times New Roman"/>
                <w:vertAlign w:val="superscript"/>
              </w:rPr>
              <w:t>3</w:t>
            </w:r>
            <w:r>
              <w:rPr>
                <w:rFonts w:ascii="Times New Roman" w:hAnsi="Times New Roman" w:cs="Times New Roman"/>
              </w:rPr>
              <w:t>/d（19350m</w:t>
            </w:r>
            <w:r>
              <w:rPr>
                <w:rFonts w:ascii="Times New Roman" w:hAnsi="Times New Roman" w:cs="Times New Roman"/>
                <w:vertAlign w:val="superscript"/>
              </w:rPr>
              <w:t>3</w:t>
            </w:r>
            <w:r>
              <w:rPr>
                <w:rFonts w:ascii="Times New Roman" w:hAnsi="Times New Roman" w:cs="Times New Roman"/>
              </w:rPr>
              <w:t>/a）。食堂污水产生系数按0.8计，则食堂废水排放量约为77.4m</w:t>
            </w:r>
            <w:r>
              <w:rPr>
                <w:rFonts w:ascii="Times New Roman" w:hAnsi="Times New Roman" w:cs="Times New Roman"/>
                <w:vertAlign w:val="superscript"/>
              </w:rPr>
              <w:t>3</w:t>
            </w:r>
            <w:r>
              <w:rPr>
                <w:rFonts w:ascii="Times New Roman" w:hAnsi="Times New Roman" w:cs="Times New Roman"/>
              </w:rPr>
              <w:t>/d（15480m</w:t>
            </w:r>
            <w:r>
              <w:rPr>
                <w:rFonts w:ascii="Times New Roman" w:hAnsi="Times New Roman" w:cs="Times New Roman"/>
                <w:vertAlign w:val="superscript"/>
              </w:rPr>
              <w:t>3</w:t>
            </w:r>
            <w:r>
              <w:rPr>
                <w:rFonts w:ascii="Times New Roman" w:hAnsi="Times New Roman" w:cs="Times New Roman"/>
              </w:rPr>
              <w:t>/a）</w:t>
            </w:r>
          </w:p>
          <w:p>
            <w:pPr>
              <w:ind w:firstLine="48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实验用水</w:t>
            </w:r>
          </w:p>
          <w:p>
            <w:pPr>
              <w:ind w:firstLine="480" w:firstLineChars="200"/>
              <w:rPr>
                <w:rFonts w:ascii="Times New Roman" w:hAnsi="Times New Roman" w:cs="Times New Roman"/>
              </w:rPr>
            </w:pPr>
            <w:r>
              <w:rPr>
                <w:rFonts w:ascii="Times New Roman" w:hAnsi="Times New Roman" w:cs="Times New Roman"/>
              </w:rPr>
              <w:t>建设项目实验室均为常规实验室，化学实验室用水主要为玻璃仪器的清洗等，物理和生物实验室用水主要为个人卫生的清洗和器具的清洗</w:t>
            </w:r>
            <w:r>
              <w:rPr>
                <w:rFonts w:hint="eastAsia" w:ascii="Times New Roman" w:hAnsi="Times New Roman" w:cs="Times New Roman"/>
              </w:rPr>
              <w:t>。其中初中部实验用水按</w:t>
            </w:r>
            <w:r>
              <w:rPr>
                <w:rFonts w:ascii="Times New Roman" w:hAnsi="Times New Roman" w:cs="Times New Roman"/>
              </w:rPr>
              <w:t>10L/人·d</w:t>
            </w:r>
            <w:r>
              <w:rPr>
                <w:rFonts w:hint="eastAsia" w:ascii="Times New Roman" w:hAnsi="Times New Roman" w:cs="Times New Roman"/>
              </w:rPr>
              <w:t>，</w:t>
            </w:r>
            <w:r>
              <w:rPr>
                <w:rFonts w:ascii="Times New Roman" w:hAnsi="Times New Roman" w:cs="Times New Roman"/>
              </w:rPr>
              <w:t>年用水时间按2</w:t>
            </w:r>
            <w:r>
              <w:rPr>
                <w:rFonts w:hint="eastAsia" w:ascii="Times New Roman" w:hAnsi="Times New Roman" w:cs="Times New Roman"/>
              </w:rPr>
              <w:t>0</w:t>
            </w:r>
            <w:r>
              <w:rPr>
                <w:rFonts w:ascii="Times New Roman" w:hAnsi="Times New Roman" w:cs="Times New Roman"/>
              </w:rPr>
              <w:t>0天计，则实验用水量为</w:t>
            </w:r>
            <w:r>
              <w:rPr>
                <w:rFonts w:hint="eastAsia" w:ascii="Times New Roman" w:hAnsi="Times New Roman" w:cs="Times New Roman"/>
              </w:rPr>
              <w:t>9</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rPr>
              <w:t>1800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/a）。实验室污水产生系数按0.8计，则实验室污水排放量约为</w:t>
            </w:r>
            <w:r>
              <w:rPr>
                <w:rFonts w:hint="eastAsia" w:ascii="Times New Roman" w:hAnsi="Times New Roman" w:cs="Times New Roman"/>
              </w:rPr>
              <w:t>7.2</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/d（1</w:t>
            </w:r>
            <w:r>
              <w:rPr>
                <w:rFonts w:hint="eastAsia" w:ascii="Times New Roman" w:hAnsi="Times New Roman" w:cs="Times New Roman"/>
              </w:rPr>
              <w:t>440</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w:t>
            </w:r>
          </w:p>
          <w:p>
            <w:pPr>
              <w:ind w:firstLine="48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绿化用水</w:t>
            </w:r>
          </w:p>
          <w:p>
            <w:pPr>
              <w:ind w:firstLine="480" w:firstLineChars="200"/>
              <w:rPr>
                <w:rFonts w:ascii="Times New Roman" w:hAnsi="Times New Roman" w:cs="Times New Roman"/>
              </w:rPr>
            </w:pPr>
            <w:r>
              <w:rPr>
                <w:rFonts w:ascii="Times New Roman" w:hAnsi="Times New Roman" w:cs="Times New Roman"/>
              </w:rPr>
              <w:t>建设项目绿化面积</w:t>
            </w:r>
            <w:r>
              <w:rPr>
                <w:rFonts w:hint="eastAsia" w:ascii="Times New Roman" w:hAnsi="Times New Roman" w:cs="Times New Roman"/>
              </w:rPr>
              <w:t>14068.89</w:t>
            </w:r>
            <w:r>
              <w:rPr>
                <w:rFonts w:ascii="Times New Roman" w:hAnsi="Times New Roman" w:cs="Times New Roman"/>
              </w:rPr>
              <w:t>m</w:t>
            </w:r>
            <w:r>
              <w:rPr>
                <w:rFonts w:ascii="Times New Roman" w:hAnsi="Times New Roman" w:cs="Times New Roman"/>
                <w:vertAlign w:val="superscript"/>
              </w:rPr>
              <w:t>2</w:t>
            </w:r>
            <w:r>
              <w:rPr>
                <w:rFonts w:ascii="Times New Roman" w:hAnsi="Times New Roman" w:cs="Times New Roman"/>
              </w:rPr>
              <w:t>，根据《湖南省用水定额地方标准》表29公共设施用水定额中园林绿化业中绿化用水参数为60L/m</w:t>
            </w:r>
            <w:r>
              <w:rPr>
                <w:rFonts w:ascii="Times New Roman" w:hAnsi="Times New Roman" w:cs="Times New Roman"/>
                <w:vertAlign w:val="superscript"/>
              </w:rPr>
              <w:t>2</w:t>
            </w:r>
            <w:r>
              <w:rPr>
                <w:rFonts w:ascii="Times New Roman" w:hAnsi="Times New Roman" w:cs="Times New Roman"/>
              </w:rPr>
              <w:t>·d，但综合考虑降雨作用用水量按</w:t>
            </w:r>
            <w:r>
              <w:rPr>
                <w:rFonts w:hint="eastAsia" w:ascii="Times New Roman" w:hAnsi="Times New Roman" w:cs="Times New Roman"/>
              </w:rPr>
              <w:t>2</w:t>
            </w:r>
            <w:r>
              <w:rPr>
                <w:rFonts w:ascii="Times New Roman" w:hAnsi="Times New Roman" w:cs="Times New Roman"/>
              </w:rPr>
              <w:t>L/m</w:t>
            </w:r>
            <w:r>
              <w:rPr>
                <w:rFonts w:ascii="Times New Roman" w:hAnsi="Times New Roman" w:cs="Times New Roman"/>
                <w:vertAlign w:val="superscript"/>
              </w:rPr>
              <w:t>2</w:t>
            </w:r>
            <w:r>
              <w:rPr>
                <w:rFonts w:ascii="Times New Roman" w:hAnsi="Times New Roman" w:cs="Times New Roman"/>
              </w:rPr>
              <w:t>·d计，年用水时间按</w:t>
            </w:r>
            <w:r>
              <w:rPr>
                <w:rFonts w:hint="eastAsia" w:ascii="Times New Roman" w:hAnsi="Times New Roman" w:cs="Times New Roman"/>
              </w:rPr>
              <w:t>200</w:t>
            </w:r>
            <w:r>
              <w:rPr>
                <w:rFonts w:ascii="Times New Roman" w:hAnsi="Times New Roman" w:cs="Times New Roman"/>
              </w:rPr>
              <w:t>天计，则绿化用水量为</w:t>
            </w:r>
            <w:r>
              <w:rPr>
                <w:rFonts w:hint="eastAsia" w:ascii="Times New Roman" w:hAnsi="Times New Roman" w:cs="Times New Roman"/>
              </w:rPr>
              <w:t>5627.56</w:t>
            </w: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/a。用水被植被吸收，或被蒸发消耗，无废水产生。</w:t>
            </w:r>
          </w:p>
          <w:p>
            <w:pPr>
              <w:spacing w:line="360" w:lineRule="auto"/>
              <w:jc w:val="center"/>
              <w:rPr>
                <w:rFonts w:ascii="Times New Roman" w:hAnsi="Times New Roman" w:cs="Times New Roman"/>
                <w:b/>
                <w:bCs/>
              </w:rPr>
            </w:pPr>
            <w:r>
              <w:rPr>
                <w:rFonts w:ascii="Times New Roman" w:hAnsi="Times New Roman" w:cs="Times New Roman"/>
                <w:b/>
                <w:bCs/>
              </w:rPr>
              <w:t xml:space="preserve">表5-1  </w:t>
            </w:r>
            <w:r>
              <w:rPr>
                <w:rFonts w:hint="eastAsia" w:ascii="Times New Roman" w:hAnsi="Times New Roman" w:cs="Times New Roman"/>
                <w:b/>
                <w:bCs/>
              </w:rPr>
              <w:t>运营期</w:t>
            </w:r>
            <w:r>
              <w:rPr>
                <w:rFonts w:ascii="Times New Roman" w:hAnsi="Times New Roman" w:cs="Times New Roman"/>
                <w:b/>
                <w:bCs/>
              </w:rPr>
              <w:t>用水情况统计表</w:t>
            </w:r>
          </w:p>
          <w:tbl>
            <w:tblPr>
              <w:tblStyle w:val="23"/>
              <w:tblW w:w="0" w:type="auto"/>
              <w:tblInd w:w="1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190"/>
              <w:gridCol w:w="1938"/>
              <w:gridCol w:w="1516"/>
              <w:gridCol w:w="1213"/>
              <w:gridCol w:w="16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序号</w:t>
                  </w:r>
                </w:p>
              </w:tc>
              <w:tc>
                <w:tcPr>
                  <w:tcW w:w="1377"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名称</w:t>
                  </w:r>
                </w:p>
              </w:tc>
              <w:tc>
                <w:tcPr>
                  <w:tcW w:w="2194"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定额</w:t>
                  </w:r>
                </w:p>
              </w:tc>
              <w:tc>
                <w:tcPr>
                  <w:tcW w:w="1585"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数量</w:t>
                  </w:r>
                </w:p>
              </w:tc>
              <w:tc>
                <w:tcPr>
                  <w:tcW w:w="1318"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时间</w:t>
                  </w:r>
                </w:p>
              </w:tc>
              <w:tc>
                <w:tcPr>
                  <w:tcW w:w="1777" w:type="dxa"/>
                  <w:tcBorders>
                    <w:bottom w:val="single" w:color="auto"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用量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835" w:type="dxa"/>
                  <w:vMerge w:val="restart"/>
                  <w:tcBorders>
                    <w:top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1377" w:type="dxa"/>
                  <w:vMerge w:val="restart"/>
                  <w:tcBorders>
                    <w:top w:val="single" w:color="auto" w:sz="12"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学生用水</w:t>
                  </w:r>
                </w:p>
              </w:tc>
              <w:tc>
                <w:tcPr>
                  <w:tcW w:w="2194" w:type="dxa"/>
                  <w:tcBorders>
                    <w:top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小学</w:t>
                  </w:r>
                  <w:r>
                    <w:rPr>
                      <w:rFonts w:hint="eastAsia" w:ascii="Times New Roman" w:hAnsi="Times New Roman" w:cs="Times New Roman"/>
                      <w:sz w:val="21"/>
                      <w:szCs w:val="21"/>
                    </w:rPr>
                    <w:t>50</w:t>
                  </w:r>
                  <w:r>
                    <w:rPr>
                      <w:rFonts w:ascii="Times New Roman" w:hAnsi="Times New Roman" w:cs="Times New Roman"/>
                      <w:sz w:val="21"/>
                      <w:szCs w:val="21"/>
                    </w:rPr>
                    <w:t>/人·d</w:t>
                  </w:r>
                </w:p>
              </w:tc>
              <w:tc>
                <w:tcPr>
                  <w:tcW w:w="1585" w:type="dxa"/>
                  <w:tcBorders>
                    <w:top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小学1620人</w:t>
                  </w:r>
                </w:p>
              </w:tc>
              <w:tc>
                <w:tcPr>
                  <w:tcW w:w="1318" w:type="dxa"/>
                  <w:vMerge w:val="restart"/>
                  <w:tcBorders>
                    <w:top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Times New Roman"/>
                      <w:sz w:val="21"/>
                      <w:szCs w:val="21"/>
                    </w:rPr>
                    <w:t>0</w:t>
                  </w:r>
                  <w:r>
                    <w:rPr>
                      <w:rFonts w:ascii="Times New Roman" w:hAnsi="Times New Roman" w:cs="Times New Roman"/>
                      <w:sz w:val="21"/>
                      <w:szCs w:val="21"/>
                    </w:rPr>
                    <w:t>0d/a</w:t>
                  </w:r>
                </w:p>
              </w:tc>
              <w:tc>
                <w:tcPr>
                  <w:tcW w:w="1777" w:type="dxa"/>
                  <w:vMerge w:val="restart"/>
                  <w:tcBorders>
                    <w:top w:val="single" w:color="auto"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34200</w:t>
                  </w:r>
                  <w:r>
                    <w:rPr>
                      <w:rFonts w:ascii="Times New Roman" w:hAnsi="Times New Roman" w:cs="Times New Roman"/>
                      <w:sz w:val="21"/>
                      <w:szCs w:val="21"/>
                    </w:rPr>
                    <w:t>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835"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377"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219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初中100L/人·d</w:t>
                  </w:r>
                  <w:r>
                    <w:rPr>
                      <w:rFonts w:hint="eastAsia" w:ascii="Times New Roman" w:hAnsi="Times New Roman" w:cs="Times New Roman"/>
                      <w:sz w:val="21"/>
                      <w:szCs w:val="21"/>
                    </w:rPr>
                    <w:t>（住宿）</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初中</w:t>
                  </w:r>
                  <w:r>
                    <w:rPr>
                      <w:rFonts w:hint="eastAsia" w:ascii="Times New Roman" w:hAnsi="Times New Roman" w:cs="Times New Roman"/>
                      <w:sz w:val="21"/>
                      <w:szCs w:val="21"/>
                    </w:rPr>
                    <w:t>9</w:t>
                  </w:r>
                  <w:r>
                    <w:rPr>
                      <w:rFonts w:ascii="Times New Roman" w:hAnsi="Times New Roman" w:cs="Times New Roman"/>
                      <w:sz w:val="21"/>
                      <w:szCs w:val="21"/>
                    </w:rPr>
                    <w:t>00人</w:t>
                  </w:r>
                </w:p>
              </w:tc>
              <w:tc>
                <w:tcPr>
                  <w:tcW w:w="13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777"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8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1377"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教职工用水</w:t>
                  </w:r>
                </w:p>
              </w:tc>
              <w:tc>
                <w:tcPr>
                  <w:tcW w:w="219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45L/人·d（非住宿）</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170</w:t>
                  </w:r>
                  <w:r>
                    <w:rPr>
                      <w:rFonts w:ascii="Times New Roman" w:hAnsi="Times New Roman" w:cs="Times New Roman"/>
                      <w:sz w:val="21"/>
                      <w:szCs w:val="21"/>
                    </w:rPr>
                    <w:t>人</w:t>
                  </w:r>
                </w:p>
              </w:tc>
              <w:tc>
                <w:tcPr>
                  <w:tcW w:w="13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77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1530</w:t>
                  </w:r>
                  <w:r>
                    <w:rPr>
                      <w:rFonts w:ascii="Times New Roman" w:hAnsi="Times New Roman" w:cs="Times New Roman"/>
                      <w:sz w:val="21"/>
                      <w:szCs w:val="21"/>
                    </w:rPr>
                    <w:t>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1377"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食堂用水</w:t>
                  </w:r>
                </w:p>
              </w:tc>
              <w:tc>
                <w:tcPr>
                  <w:tcW w:w="219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15L/次·d</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6540次/d</w:t>
                  </w:r>
                </w:p>
              </w:tc>
              <w:tc>
                <w:tcPr>
                  <w:tcW w:w="13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77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19350m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w:t>
                  </w:r>
                </w:p>
              </w:tc>
              <w:tc>
                <w:tcPr>
                  <w:tcW w:w="137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实验用水</w:t>
                  </w:r>
                </w:p>
              </w:tc>
              <w:tc>
                <w:tcPr>
                  <w:tcW w:w="219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5.5m</w:t>
                  </w:r>
                  <w:r>
                    <w:rPr>
                      <w:rFonts w:ascii="Times New Roman" w:hAnsi="Times New Roman" w:cs="Times New Roman"/>
                      <w:sz w:val="21"/>
                      <w:szCs w:val="21"/>
                      <w:vertAlign w:val="superscript"/>
                    </w:rPr>
                    <w:t>3</w:t>
                  </w:r>
                  <w:r>
                    <w:rPr>
                      <w:rFonts w:ascii="Times New Roman" w:hAnsi="Times New Roman" w:cs="Times New Roman"/>
                      <w:sz w:val="21"/>
                      <w:szCs w:val="21"/>
                    </w:rPr>
                    <w:t>/d</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13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77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9</w:t>
                  </w:r>
                  <w:r>
                    <w:rPr>
                      <w:rFonts w:hint="eastAsia" w:ascii="Times New Roman" w:hAnsi="Times New Roman" w:cs="Times New Roman"/>
                      <w:sz w:val="21"/>
                      <w:szCs w:val="21"/>
                    </w:rPr>
                    <w:t>00</w:t>
                  </w:r>
                  <w:r>
                    <w:rPr>
                      <w:rFonts w:ascii="Times New Roman" w:hAnsi="Times New Roman" w:cs="Times New Roman"/>
                      <w:sz w:val="21"/>
                      <w:szCs w:val="21"/>
                    </w:rPr>
                    <w:t>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3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w:t>
                  </w:r>
                </w:p>
              </w:tc>
              <w:tc>
                <w:tcPr>
                  <w:tcW w:w="1377"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绿化用水</w:t>
                  </w:r>
                </w:p>
              </w:tc>
              <w:tc>
                <w:tcPr>
                  <w:tcW w:w="2194"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L/m</w:t>
                  </w:r>
                  <w:r>
                    <w:rPr>
                      <w:rFonts w:ascii="Times New Roman" w:hAnsi="Times New Roman" w:cs="Times New Roman"/>
                      <w:sz w:val="21"/>
                      <w:szCs w:val="21"/>
                      <w:vertAlign w:val="superscript"/>
                    </w:rPr>
                    <w:t>2</w:t>
                  </w:r>
                  <w:r>
                    <w:rPr>
                      <w:rFonts w:ascii="Times New Roman" w:hAnsi="Times New Roman" w:cs="Times New Roman"/>
                      <w:sz w:val="21"/>
                      <w:szCs w:val="21"/>
                    </w:rPr>
                    <w:t>·d</w:t>
                  </w:r>
                </w:p>
              </w:tc>
              <w:tc>
                <w:tcPr>
                  <w:tcW w:w="158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14068.89</w:t>
                  </w:r>
                  <w:r>
                    <w:rPr>
                      <w:rFonts w:ascii="Times New Roman" w:hAnsi="Times New Roman" w:cs="Times New Roman"/>
                      <w:sz w:val="21"/>
                      <w:szCs w:val="21"/>
                    </w:rPr>
                    <w:t>m</w:t>
                  </w:r>
                  <w:r>
                    <w:rPr>
                      <w:rFonts w:ascii="Times New Roman" w:hAnsi="Times New Roman" w:cs="Times New Roman"/>
                      <w:sz w:val="21"/>
                      <w:szCs w:val="21"/>
                      <w:vertAlign w:val="superscript"/>
                    </w:rPr>
                    <w:t>2</w:t>
                  </w:r>
                </w:p>
              </w:tc>
              <w:tc>
                <w:tcPr>
                  <w:tcW w:w="13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77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5627.56</w:t>
                  </w:r>
                  <w:r>
                    <w:rPr>
                      <w:rFonts w:ascii="Times New Roman" w:hAnsi="Times New Roman" w:cs="Times New Roman"/>
                      <w:sz w:val="21"/>
                      <w:szCs w:val="21"/>
                    </w:rPr>
                    <w:t>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1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合计</w:t>
                  </w:r>
                </w:p>
              </w:tc>
              <w:tc>
                <w:tcPr>
                  <w:tcW w:w="6874" w:type="dxa"/>
                  <w:gridSpan w:val="4"/>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62507.56m</w:t>
                  </w:r>
                  <w:r>
                    <w:rPr>
                      <w:rFonts w:ascii="Times New Roman" w:hAnsi="Times New Roman" w:cs="Times New Roman"/>
                      <w:sz w:val="21"/>
                      <w:szCs w:val="21"/>
                      <w:vertAlign w:val="superscript"/>
                    </w:rPr>
                    <w:t>3</w:t>
                  </w:r>
                  <w:r>
                    <w:rPr>
                      <w:rFonts w:ascii="Times New Roman" w:hAnsi="Times New Roman" w:cs="Times New Roman"/>
                      <w:sz w:val="21"/>
                      <w:szCs w:val="21"/>
                    </w:rPr>
                    <w:t>/a</w:t>
                  </w:r>
                </w:p>
              </w:tc>
            </w:tr>
          </w:tbl>
          <w:p>
            <w:pPr>
              <w:spacing w:line="360" w:lineRule="auto"/>
              <w:jc w:val="center"/>
              <w:rPr>
                <w:rFonts w:ascii="Times New Roman" w:hAnsi="Times New Roman" w:cs="Times New Roman"/>
                <w:b/>
                <w:bCs/>
              </w:rPr>
            </w:pPr>
            <w:r>
              <w:rPr>
                <w:rFonts w:ascii="Times New Roman" w:hAnsi="Times New Roman" w:cs="Times New Roman"/>
                <w:b/>
                <w:bCs/>
              </w:rPr>
              <w:t>表5-2  项目给排水平衡表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1064"/>
              <w:gridCol w:w="803"/>
              <w:gridCol w:w="1004"/>
              <w:gridCol w:w="1004"/>
              <w:gridCol w:w="1525"/>
              <w:gridCol w:w="19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vMerge w:val="restart"/>
                  <w:tcBorders>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项目</w:t>
                  </w:r>
                </w:p>
              </w:tc>
              <w:tc>
                <w:tcPr>
                  <w:tcW w:w="1717" w:type="pct"/>
                  <w:gridSpan w:val="3"/>
                  <w:tcBorders>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进水量（</w:t>
                  </w:r>
                  <w:r>
                    <w:rPr>
                      <w:rFonts w:ascii="Times New Roman" w:hAnsi="Times New Roman" w:cs="Times New Roman"/>
                      <w:b/>
                      <w:bCs/>
                      <w:sz w:val="21"/>
                      <w:szCs w:val="21"/>
                    </w:rPr>
                    <w:t>m</w:t>
                  </w:r>
                  <w:r>
                    <w:rPr>
                      <w:rFonts w:ascii="Times New Roman" w:hAnsi="Times New Roman" w:cs="Times New Roman"/>
                      <w:b/>
                      <w:bCs/>
                      <w:sz w:val="21"/>
                      <w:szCs w:val="21"/>
                      <w:vertAlign w:val="superscript"/>
                    </w:rPr>
                    <w:t>3</w:t>
                  </w:r>
                  <w:r>
                    <w:rPr>
                      <w:rFonts w:ascii="Times New Roman" w:hAnsi="Times New Roman" w:cs="Times New Roman"/>
                      <w:b/>
                      <w:bCs/>
                      <w:sz w:val="21"/>
                      <w:szCs w:val="21"/>
                    </w:rPr>
                    <w:t>/a</w:t>
                  </w:r>
                  <w:r>
                    <w:rPr>
                      <w:rFonts w:ascii="Times New Roman" w:hAnsi="Times New Roman" w:cs="Times New Roman"/>
                      <w:b/>
                      <w:bCs/>
                      <w:spacing w:val="6"/>
                      <w:sz w:val="21"/>
                      <w:szCs w:val="21"/>
                    </w:rPr>
                    <w:t>）</w:t>
                  </w:r>
                </w:p>
              </w:tc>
              <w:tc>
                <w:tcPr>
                  <w:tcW w:w="1511" w:type="pct"/>
                  <w:gridSpan w:val="2"/>
                  <w:tcBorders>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出水量（</w:t>
                  </w:r>
                  <w:r>
                    <w:rPr>
                      <w:rFonts w:ascii="Times New Roman" w:hAnsi="Times New Roman" w:cs="Times New Roman"/>
                      <w:b/>
                      <w:bCs/>
                      <w:sz w:val="21"/>
                      <w:szCs w:val="21"/>
                    </w:rPr>
                    <w:t>m</w:t>
                  </w:r>
                  <w:r>
                    <w:rPr>
                      <w:rFonts w:ascii="Times New Roman" w:hAnsi="Times New Roman" w:cs="Times New Roman"/>
                      <w:b/>
                      <w:bCs/>
                      <w:sz w:val="21"/>
                      <w:szCs w:val="21"/>
                      <w:vertAlign w:val="superscript"/>
                    </w:rPr>
                    <w:t>3</w:t>
                  </w:r>
                  <w:r>
                    <w:rPr>
                      <w:rFonts w:ascii="Times New Roman" w:hAnsi="Times New Roman" w:cs="Times New Roman"/>
                      <w:b/>
                      <w:bCs/>
                      <w:sz w:val="21"/>
                      <w:szCs w:val="21"/>
                    </w:rPr>
                    <w:t>/a</w:t>
                  </w:r>
                  <w:r>
                    <w:rPr>
                      <w:rFonts w:ascii="Times New Roman" w:hAnsi="Times New Roman" w:cs="Times New Roman"/>
                      <w:b/>
                      <w:bCs/>
                      <w:spacing w:val="6"/>
                      <w:sz w:val="21"/>
                      <w:szCs w:val="21"/>
                    </w:rPr>
                    <w:t>）</w:t>
                  </w:r>
                </w:p>
              </w:tc>
              <w:tc>
                <w:tcPr>
                  <w:tcW w:w="1163" w:type="pct"/>
                  <w:vMerge w:val="restart"/>
                  <w:tcBorders>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备 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vMerge w:val="continue"/>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spacing w:val="6"/>
                      <w:sz w:val="21"/>
                      <w:szCs w:val="21"/>
                    </w:rPr>
                  </w:pPr>
                </w:p>
              </w:tc>
              <w:tc>
                <w:tcPr>
                  <w:tcW w:w="652" w:type="pct"/>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新鲜水</w:t>
                  </w:r>
                </w:p>
              </w:tc>
              <w:tc>
                <w:tcPr>
                  <w:tcW w:w="495" w:type="pct"/>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回用</w:t>
                  </w:r>
                </w:p>
              </w:tc>
              <w:tc>
                <w:tcPr>
                  <w:tcW w:w="570" w:type="pct"/>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总计</w:t>
                  </w:r>
                </w:p>
              </w:tc>
              <w:tc>
                <w:tcPr>
                  <w:tcW w:w="582" w:type="pct"/>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损耗</w:t>
                  </w:r>
                </w:p>
              </w:tc>
              <w:tc>
                <w:tcPr>
                  <w:tcW w:w="928" w:type="pct"/>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b/>
                      <w:bCs/>
                      <w:spacing w:val="6"/>
                      <w:sz w:val="21"/>
                      <w:szCs w:val="21"/>
                    </w:rPr>
                  </w:pPr>
                  <w:r>
                    <w:rPr>
                      <w:rFonts w:ascii="Times New Roman" w:hAnsi="Times New Roman" w:cs="Times New Roman"/>
                      <w:b/>
                      <w:bCs/>
                      <w:spacing w:val="6"/>
                      <w:sz w:val="21"/>
                      <w:szCs w:val="21"/>
                    </w:rPr>
                    <w:t>排水</w:t>
                  </w:r>
                </w:p>
              </w:tc>
              <w:tc>
                <w:tcPr>
                  <w:tcW w:w="1163" w:type="pct"/>
                  <w:vMerge w:val="continue"/>
                  <w:tcBorders>
                    <w:bottom w:val="single" w:color="auto" w:sz="12" w:space="0"/>
                    <w:tl2br w:val="nil"/>
                    <w:tr2bl w:val="nil"/>
                  </w:tcBorders>
                  <w:vAlign w:val="center"/>
                </w:tcPr>
                <w:p>
                  <w:pPr>
                    <w:tabs>
                      <w:tab w:val="left" w:pos="7332"/>
                    </w:tabs>
                    <w:spacing w:line="240" w:lineRule="auto"/>
                    <w:jc w:val="center"/>
                    <w:rPr>
                      <w:rFonts w:ascii="Times New Roman" w:hAnsi="Times New Roman" w:cs="Times New Roman"/>
                      <w:spacing w:val="6"/>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op w:val="single" w:color="auto" w:sz="12" w:space="0"/>
                  </w:tcBorders>
                  <w:vAlign w:val="center"/>
                </w:tcPr>
                <w:p>
                  <w:pPr>
                    <w:spacing w:line="240" w:lineRule="auto"/>
                    <w:jc w:val="center"/>
                    <w:rPr>
                      <w:rFonts w:ascii="Times New Roman" w:hAnsi="Times New Roman" w:cs="Times New Roman"/>
                      <w:spacing w:val="6"/>
                      <w:sz w:val="21"/>
                      <w:szCs w:val="21"/>
                    </w:rPr>
                  </w:pPr>
                  <w:r>
                    <w:rPr>
                      <w:rFonts w:ascii="Times New Roman" w:hAnsi="Times New Roman" w:cs="Times New Roman"/>
                      <w:sz w:val="21"/>
                      <w:szCs w:val="21"/>
                    </w:rPr>
                    <w:t>学生用水</w:t>
                  </w:r>
                </w:p>
              </w:tc>
              <w:tc>
                <w:tcPr>
                  <w:tcW w:w="652" w:type="pct"/>
                  <w:tcBorders>
                    <w:top w:val="single" w:color="auto" w:sz="12" w:space="0"/>
                  </w:tcBorders>
                  <w:vAlign w:val="center"/>
                </w:tcPr>
                <w:p>
                  <w:pPr>
                    <w:spacing w:line="240" w:lineRule="auto"/>
                    <w:jc w:val="center"/>
                    <w:rPr>
                      <w:rFonts w:ascii="Times New Roman" w:hAnsi="Times New Roman" w:cs="Times New Roman"/>
                      <w:bCs/>
                      <w:kern w:val="0"/>
                      <w:sz w:val="21"/>
                      <w:szCs w:val="21"/>
                    </w:rPr>
                  </w:pPr>
                  <w:r>
                    <w:rPr>
                      <w:rFonts w:hint="eastAsia" w:ascii="Times New Roman" w:hAnsi="Times New Roman" w:cs="Times New Roman"/>
                      <w:sz w:val="21"/>
                      <w:szCs w:val="21"/>
                    </w:rPr>
                    <w:t>34200</w:t>
                  </w:r>
                </w:p>
              </w:tc>
              <w:tc>
                <w:tcPr>
                  <w:tcW w:w="495" w:type="pct"/>
                  <w:tcBorders>
                    <w:top w:val="single" w:color="auto" w:sz="12" w:space="0"/>
                  </w:tcBorders>
                  <w:vAlign w:val="center"/>
                </w:tcPr>
                <w:p>
                  <w:pPr>
                    <w:widowControl/>
                    <w:spacing w:line="240" w:lineRule="auto"/>
                    <w:jc w:val="center"/>
                    <w:textAlignment w:val="center"/>
                    <w:rPr>
                      <w:rFonts w:ascii="Times New Roman" w:hAnsi="Times New Roman" w:cs="Times New Roman"/>
                      <w:bCs/>
                      <w:kern w:val="0"/>
                      <w:sz w:val="21"/>
                      <w:szCs w:val="21"/>
                    </w:rPr>
                  </w:pPr>
                  <w:r>
                    <w:rPr>
                      <w:rFonts w:ascii="Times New Roman" w:hAnsi="Times New Roman" w:eastAsia="宋体" w:cs="Times New Roman"/>
                      <w:kern w:val="0"/>
                      <w:sz w:val="21"/>
                      <w:szCs w:val="21"/>
                      <w:lang w:bidi="ar"/>
                    </w:rPr>
                    <w:t>0</w:t>
                  </w:r>
                </w:p>
              </w:tc>
              <w:tc>
                <w:tcPr>
                  <w:tcW w:w="570" w:type="pct"/>
                  <w:tcBorders>
                    <w:top w:val="single" w:color="auto" w:sz="12" w:space="0"/>
                  </w:tcBorders>
                  <w:vAlign w:val="center"/>
                </w:tcPr>
                <w:p>
                  <w:pPr>
                    <w:spacing w:line="240" w:lineRule="auto"/>
                    <w:jc w:val="center"/>
                    <w:rPr>
                      <w:rFonts w:ascii="Times New Roman" w:hAnsi="Times New Roman" w:cs="Times New Roman"/>
                      <w:bCs/>
                      <w:kern w:val="0"/>
                      <w:sz w:val="21"/>
                      <w:szCs w:val="21"/>
                    </w:rPr>
                  </w:pPr>
                  <w:r>
                    <w:rPr>
                      <w:rFonts w:hint="eastAsia" w:ascii="Times New Roman" w:hAnsi="Times New Roman" w:cs="Times New Roman"/>
                      <w:sz w:val="21"/>
                      <w:szCs w:val="21"/>
                    </w:rPr>
                    <w:t>34200</w:t>
                  </w:r>
                </w:p>
              </w:tc>
              <w:tc>
                <w:tcPr>
                  <w:tcW w:w="582" w:type="pct"/>
                  <w:tcBorders>
                    <w:top w:val="single" w:color="auto" w:sz="12" w:space="0"/>
                  </w:tcBorders>
                  <w:vAlign w:val="center"/>
                </w:tcPr>
                <w:p>
                  <w:pPr>
                    <w:widowControl/>
                    <w:spacing w:line="240" w:lineRule="auto"/>
                    <w:jc w:val="center"/>
                    <w:textAlignment w:val="center"/>
                    <w:rPr>
                      <w:rFonts w:ascii="Times New Roman" w:hAnsi="Times New Roman" w:cs="Times New Roman"/>
                      <w:bCs/>
                      <w:kern w:val="0"/>
                      <w:sz w:val="21"/>
                      <w:szCs w:val="21"/>
                    </w:rPr>
                  </w:pPr>
                  <w:r>
                    <w:rPr>
                      <w:rFonts w:hint="eastAsia" w:ascii="Times New Roman" w:hAnsi="Times New Roman" w:eastAsia="宋体" w:cs="Times New Roman"/>
                      <w:kern w:val="0"/>
                      <w:sz w:val="21"/>
                      <w:szCs w:val="21"/>
                      <w:lang w:bidi="ar"/>
                    </w:rPr>
                    <w:t>6840</w:t>
                  </w:r>
                </w:p>
              </w:tc>
              <w:tc>
                <w:tcPr>
                  <w:tcW w:w="928" w:type="pct"/>
                  <w:tcBorders>
                    <w:top w:val="single" w:color="auto" w:sz="12" w:space="0"/>
                  </w:tcBorders>
                  <w:vAlign w:val="center"/>
                </w:tcPr>
                <w:p>
                  <w:pPr>
                    <w:widowControl/>
                    <w:spacing w:line="240" w:lineRule="auto"/>
                    <w:jc w:val="center"/>
                    <w:textAlignment w:val="center"/>
                    <w:rPr>
                      <w:rFonts w:ascii="Times New Roman" w:hAnsi="Times New Roman" w:cs="Times New Roman"/>
                      <w:spacing w:val="6"/>
                      <w:sz w:val="21"/>
                      <w:szCs w:val="21"/>
                    </w:rPr>
                  </w:pPr>
                  <w:r>
                    <w:rPr>
                      <w:rFonts w:hint="eastAsia" w:ascii="Times New Roman" w:hAnsi="Times New Roman" w:eastAsia="宋体" w:cs="Times New Roman"/>
                      <w:kern w:val="0"/>
                      <w:sz w:val="21"/>
                      <w:szCs w:val="21"/>
                      <w:lang w:bidi="ar"/>
                    </w:rPr>
                    <w:t>27360</w:t>
                  </w:r>
                </w:p>
              </w:tc>
              <w:tc>
                <w:tcPr>
                  <w:tcW w:w="1163" w:type="pct"/>
                  <w:tcBorders>
                    <w:top w:val="single" w:color="auto" w:sz="12" w:space="0"/>
                  </w:tcBorders>
                  <w:vAlign w:val="center"/>
                </w:tcPr>
                <w:p>
                  <w:pPr>
                    <w:tabs>
                      <w:tab w:val="left" w:pos="7332"/>
                    </w:tabs>
                    <w:spacing w:line="240" w:lineRule="auto"/>
                    <w:jc w:val="center"/>
                    <w:rPr>
                      <w:rFonts w:ascii="Times New Roman" w:hAnsi="Times New Roman" w:cs="Times New Roman"/>
                      <w:spacing w:val="6"/>
                      <w:sz w:val="21"/>
                      <w:szCs w:val="21"/>
                    </w:rPr>
                  </w:pPr>
                  <w:r>
                    <w:rPr>
                      <w:rFonts w:hint="eastAsia" w:ascii="Times New Roman" w:hAnsi="Times New Roman" w:cs="Times New Roman"/>
                      <w:spacing w:val="6"/>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ascii="Times New Roman" w:hAnsi="Times New Roman" w:cs="Times New Roman"/>
                      <w:sz w:val="21"/>
                      <w:szCs w:val="21"/>
                    </w:rPr>
                    <w:t>教职工用水</w:t>
                  </w:r>
                </w:p>
              </w:tc>
              <w:tc>
                <w:tcPr>
                  <w:tcW w:w="652" w:type="pct"/>
                  <w:tcBorders>
                    <w:tl2br w:val="nil"/>
                    <w:tr2bl w:val="nil"/>
                  </w:tcBorders>
                  <w:vAlign w:val="center"/>
                </w:tcPr>
                <w:p>
                  <w:pPr>
                    <w:spacing w:line="240" w:lineRule="auto"/>
                    <w:jc w:val="center"/>
                    <w:rPr>
                      <w:rFonts w:ascii="Times New Roman" w:hAnsi="Times New Roman" w:eastAsia="宋体" w:cs="Times New Roman"/>
                      <w:bCs/>
                      <w:kern w:val="0"/>
                      <w:sz w:val="21"/>
                      <w:szCs w:val="21"/>
                    </w:rPr>
                  </w:pPr>
                  <w:r>
                    <w:rPr>
                      <w:rFonts w:hint="eastAsia" w:ascii="Times New Roman" w:hAnsi="Times New Roman" w:cs="Times New Roman"/>
                      <w:sz w:val="21"/>
                      <w:szCs w:val="21"/>
                    </w:rPr>
                    <w:t>1530</w:t>
                  </w:r>
                </w:p>
              </w:tc>
              <w:tc>
                <w:tcPr>
                  <w:tcW w:w="495" w:type="pct"/>
                  <w:tcBorders>
                    <w:tl2br w:val="nil"/>
                    <w:tr2bl w:val="nil"/>
                  </w:tcBorders>
                  <w:vAlign w:val="center"/>
                </w:tcPr>
                <w:p>
                  <w:pPr>
                    <w:widowControl/>
                    <w:spacing w:line="240" w:lineRule="auto"/>
                    <w:jc w:val="center"/>
                    <w:textAlignment w:val="center"/>
                    <w:rPr>
                      <w:rFonts w:ascii="Times New Roman" w:hAnsi="Times New Roman" w:cs="Times New Roman"/>
                      <w:bCs/>
                      <w:kern w:val="0"/>
                      <w:sz w:val="21"/>
                      <w:szCs w:val="21"/>
                    </w:rPr>
                  </w:pPr>
                  <w:r>
                    <w:rPr>
                      <w:rFonts w:ascii="Times New Roman" w:hAnsi="Times New Roman" w:eastAsia="宋体" w:cs="Times New Roman"/>
                      <w:kern w:val="0"/>
                      <w:sz w:val="21"/>
                      <w:szCs w:val="21"/>
                      <w:lang w:bidi="ar"/>
                    </w:rPr>
                    <w:t>0</w:t>
                  </w:r>
                </w:p>
              </w:tc>
              <w:tc>
                <w:tcPr>
                  <w:tcW w:w="570" w:type="pct"/>
                  <w:tcBorders>
                    <w:tl2br w:val="nil"/>
                    <w:tr2bl w:val="nil"/>
                  </w:tcBorders>
                  <w:vAlign w:val="center"/>
                </w:tcPr>
                <w:p>
                  <w:pPr>
                    <w:spacing w:line="240" w:lineRule="auto"/>
                    <w:jc w:val="center"/>
                    <w:rPr>
                      <w:rFonts w:ascii="Times New Roman" w:hAnsi="Times New Roman" w:cs="Times New Roman"/>
                      <w:bCs/>
                      <w:kern w:val="0"/>
                      <w:sz w:val="21"/>
                      <w:szCs w:val="21"/>
                    </w:rPr>
                  </w:pPr>
                  <w:r>
                    <w:rPr>
                      <w:rFonts w:hint="eastAsia" w:ascii="Times New Roman" w:hAnsi="Times New Roman" w:cs="Times New Roman"/>
                      <w:sz w:val="21"/>
                      <w:szCs w:val="21"/>
                    </w:rPr>
                    <w:t>1530</w:t>
                  </w:r>
                </w:p>
              </w:tc>
              <w:tc>
                <w:tcPr>
                  <w:tcW w:w="582" w:type="pct"/>
                  <w:tcBorders>
                    <w:tl2br w:val="nil"/>
                    <w:tr2bl w:val="nil"/>
                  </w:tcBorders>
                  <w:vAlign w:val="center"/>
                </w:tcPr>
                <w:p>
                  <w:pPr>
                    <w:widowControl/>
                    <w:spacing w:line="240" w:lineRule="auto"/>
                    <w:jc w:val="center"/>
                    <w:textAlignment w:val="center"/>
                    <w:rPr>
                      <w:rFonts w:ascii="Times New Roman" w:hAnsi="Times New Roman" w:eastAsia="宋体" w:cs="Times New Roman"/>
                      <w:bCs/>
                      <w:kern w:val="0"/>
                      <w:sz w:val="21"/>
                      <w:szCs w:val="21"/>
                    </w:rPr>
                  </w:pPr>
                  <w:r>
                    <w:rPr>
                      <w:rFonts w:hint="eastAsia" w:ascii="Times New Roman" w:hAnsi="Times New Roman" w:eastAsia="宋体" w:cs="Times New Roman"/>
                      <w:kern w:val="0"/>
                      <w:sz w:val="21"/>
                      <w:szCs w:val="21"/>
                      <w:lang w:bidi="ar"/>
                    </w:rPr>
                    <w:t>306</w:t>
                  </w:r>
                </w:p>
              </w:tc>
              <w:tc>
                <w:tcPr>
                  <w:tcW w:w="928" w:type="pct"/>
                  <w:tcBorders>
                    <w:tl2br w:val="nil"/>
                    <w:tr2bl w:val="nil"/>
                  </w:tcBorders>
                  <w:vAlign w:val="center"/>
                </w:tcPr>
                <w:p>
                  <w:pPr>
                    <w:widowControl/>
                    <w:spacing w:line="240" w:lineRule="auto"/>
                    <w:jc w:val="center"/>
                    <w:textAlignment w:val="center"/>
                    <w:rPr>
                      <w:rFonts w:ascii="Times New Roman" w:hAnsi="Times New Roman" w:eastAsia="宋体" w:cs="Times New Roman"/>
                      <w:spacing w:val="6"/>
                      <w:sz w:val="21"/>
                      <w:szCs w:val="21"/>
                    </w:rPr>
                  </w:pPr>
                  <w:r>
                    <w:rPr>
                      <w:rFonts w:hint="eastAsia" w:ascii="Times New Roman" w:hAnsi="Times New Roman" w:eastAsia="宋体" w:cs="Times New Roman"/>
                      <w:kern w:val="0"/>
                      <w:sz w:val="21"/>
                      <w:szCs w:val="21"/>
                      <w:lang w:bidi="ar"/>
                    </w:rPr>
                    <w:t>1224</w:t>
                  </w:r>
                </w:p>
              </w:tc>
              <w:tc>
                <w:tcPr>
                  <w:tcW w:w="1163" w:type="pct"/>
                  <w:tcBorders>
                    <w:tl2br w:val="nil"/>
                    <w:tr2bl w:val="nil"/>
                  </w:tcBorders>
                  <w:vAlign w:val="center"/>
                </w:tcPr>
                <w:p>
                  <w:pPr>
                    <w:tabs>
                      <w:tab w:val="left" w:pos="7332"/>
                    </w:tabs>
                    <w:spacing w:line="240" w:lineRule="auto"/>
                    <w:jc w:val="center"/>
                    <w:rPr>
                      <w:rFonts w:ascii="Times New Roman" w:hAnsi="Times New Roman" w:cs="Times New Roman"/>
                      <w:spacing w:val="6"/>
                      <w:sz w:val="21"/>
                      <w:szCs w:val="21"/>
                    </w:rPr>
                  </w:pPr>
                  <w:r>
                    <w:rPr>
                      <w:rFonts w:hint="eastAsia" w:ascii="Times New Roman" w:hAnsi="Times New Roman" w:cs="Times New Roman"/>
                      <w:spacing w:val="6"/>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ascii="Times New Roman" w:hAnsi="Times New Roman" w:cs="Times New Roman"/>
                      <w:sz w:val="21"/>
                      <w:szCs w:val="21"/>
                    </w:rPr>
                    <w:t>食堂用水</w:t>
                  </w:r>
                </w:p>
              </w:tc>
              <w:tc>
                <w:tcPr>
                  <w:tcW w:w="652" w:type="pct"/>
                  <w:tcBorders>
                    <w:tl2br w:val="nil"/>
                    <w:tr2bl w:val="nil"/>
                  </w:tcBorders>
                  <w:vAlign w:val="center"/>
                </w:tcPr>
                <w:p>
                  <w:pPr>
                    <w:spacing w:line="240" w:lineRule="auto"/>
                    <w:jc w:val="center"/>
                    <w:rPr>
                      <w:rFonts w:ascii="Times New Roman" w:hAnsi="Times New Roman" w:cs="Times New Roman"/>
                      <w:bCs/>
                      <w:kern w:val="0"/>
                      <w:sz w:val="21"/>
                      <w:szCs w:val="21"/>
                    </w:rPr>
                  </w:pPr>
                  <w:r>
                    <w:rPr>
                      <w:rFonts w:ascii="Times New Roman" w:hAnsi="Times New Roman" w:cs="Times New Roman"/>
                      <w:sz w:val="21"/>
                      <w:szCs w:val="21"/>
                    </w:rPr>
                    <w:t>19350</w:t>
                  </w:r>
                </w:p>
              </w:tc>
              <w:tc>
                <w:tcPr>
                  <w:tcW w:w="495" w:type="pct"/>
                  <w:tcBorders>
                    <w:tl2br w:val="nil"/>
                    <w:tr2bl w:val="nil"/>
                  </w:tcBorders>
                  <w:vAlign w:val="center"/>
                </w:tcPr>
                <w:p>
                  <w:pPr>
                    <w:widowControl/>
                    <w:spacing w:line="240" w:lineRule="auto"/>
                    <w:jc w:val="center"/>
                    <w:textAlignment w:val="center"/>
                    <w:rPr>
                      <w:rFonts w:ascii="Times New Roman" w:hAnsi="Times New Roman" w:cs="Times New Roman"/>
                      <w:bCs/>
                      <w:kern w:val="0"/>
                      <w:sz w:val="21"/>
                      <w:szCs w:val="21"/>
                    </w:rPr>
                  </w:pPr>
                  <w:r>
                    <w:rPr>
                      <w:rFonts w:ascii="Times New Roman" w:hAnsi="Times New Roman" w:eastAsia="宋体" w:cs="Times New Roman"/>
                      <w:kern w:val="0"/>
                      <w:sz w:val="21"/>
                      <w:szCs w:val="21"/>
                      <w:lang w:bidi="ar"/>
                    </w:rPr>
                    <w:t>0</w:t>
                  </w:r>
                </w:p>
              </w:tc>
              <w:tc>
                <w:tcPr>
                  <w:tcW w:w="570" w:type="pct"/>
                  <w:tcBorders>
                    <w:tl2br w:val="nil"/>
                    <w:tr2bl w:val="nil"/>
                  </w:tcBorders>
                  <w:vAlign w:val="center"/>
                </w:tcPr>
                <w:p>
                  <w:pPr>
                    <w:spacing w:line="240" w:lineRule="auto"/>
                    <w:jc w:val="center"/>
                    <w:rPr>
                      <w:rFonts w:ascii="Times New Roman" w:hAnsi="Times New Roman" w:cs="Times New Roman"/>
                      <w:bCs/>
                      <w:kern w:val="0"/>
                      <w:sz w:val="21"/>
                      <w:szCs w:val="21"/>
                    </w:rPr>
                  </w:pPr>
                  <w:r>
                    <w:rPr>
                      <w:rFonts w:ascii="Times New Roman" w:hAnsi="Times New Roman" w:cs="Times New Roman"/>
                      <w:sz w:val="21"/>
                      <w:szCs w:val="21"/>
                    </w:rPr>
                    <w:t>19350</w:t>
                  </w:r>
                </w:p>
              </w:tc>
              <w:tc>
                <w:tcPr>
                  <w:tcW w:w="582" w:type="pct"/>
                  <w:tcBorders>
                    <w:tl2br w:val="nil"/>
                    <w:tr2bl w:val="nil"/>
                  </w:tcBorders>
                  <w:vAlign w:val="center"/>
                </w:tcPr>
                <w:p>
                  <w:pPr>
                    <w:widowControl/>
                    <w:spacing w:line="240" w:lineRule="auto"/>
                    <w:jc w:val="center"/>
                    <w:textAlignment w:val="center"/>
                    <w:rPr>
                      <w:rFonts w:ascii="Times New Roman" w:hAnsi="Times New Roman" w:eastAsia="宋体" w:cs="Times New Roman"/>
                      <w:bCs/>
                      <w:kern w:val="0"/>
                      <w:sz w:val="21"/>
                      <w:szCs w:val="21"/>
                    </w:rPr>
                  </w:pPr>
                  <w:r>
                    <w:rPr>
                      <w:rFonts w:ascii="Times New Roman" w:hAnsi="Times New Roman" w:eastAsia="宋体" w:cs="Times New Roman"/>
                      <w:kern w:val="0"/>
                      <w:sz w:val="21"/>
                      <w:szCs w:val="21"/>
                      <w:lang w:bidi="ar"/>
                    </w:rPr>
                    <w:t>3870</w:t>
                  </w:r>
                </w:p>
              </w:tc>
              <w:tc>
                <w:tcPr>
                  <w:tcW w:w="928" w:type="pct"/>
                  <w:tcBorders>
                    <w:tl2br w:val="nil"/>
                    <w:tr2bl w:val="nil"/>
                  </w:tcBorders>
                  <w:vAlign w:val="center"/>
                </w:tcPr>
                <w:p>
                  <w:pPr>
                    <w:widowControl/>
                    <w:spacing w:line="240" w:lineRule="auto"/>
                    <w:jc w:val="center"/>
                    <w:textAlignment w:val="center"/>
                    <w:rPr>
                      <w:rFonts w:ascii="Times New Roman" w:hAnsi="Times New Roman" w:eastAsia="宋体" w:cs="Times New Roman"/>
                      <w:spacing w:val="6"/>
                      <w:sz w:val="21"/>
                      <w:szCs w:val="21"/>
                    </w:rPr>
                  </w:pPr>
                  <w:r>
                    <w:rPr>
                      <w:rFonts w:ascii="Times New Roman" w:hAnsi="Times New Roman" w:eastAsia="宋体" w:cs="Times New Roman"/>
                      <w:kern w:val="0"/>
                      <w:sz w:val="21"/>
                      <w:szCs w:val="21"/>
                      <w:lang w:bidi="ar"/>
                    </w:rPr>
                    <w:t>15480</w:t>
                  </w:r>
                </w:p>
              </w:tc>
              <w:tc>
                <w:tcPr>
                  <w:tcW w:w="1163" w:type="pct"/>
                  <w:tcBorders>
                    <w:tl2br w:val="nil"/>
                    <w:tr2bl w:val="nil"/>
                  </w:tcBorders>
                  <w:vAlign w:val="center"/>
                </w:tcPr>
                <w:p>
                  <w:pPr>
                    <w:tabs>
                      <w:tab w:val="left" w:pos="7332"/>
                    </w:tabs>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ascii="Times New Roman" w:hAnsi="Times New Roman" w:cs="Times New Roman"/>
                      <w:sz w:val="21"/>
                      <w:szCs w:val="21"/>
                    </w:rPr>
                    <w:t>实验用水</w:t>
                  </w:r>
                </w:p>
              </w:tc>
              <w:tc>
                <w:tcPr>
                  <w:tcW w:w="652" w:type="pct"/>
                  <w:tcBorders>
                    <w:tl2br w:val="nil"/>
                    <w:tr2bl w:val="nil"/>
                  </w:tcBorders>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cs="Times New Roman"/>
                      <w:sz w:val="21"/>
                      <w:szCs w:val="21"/>
                    </w:rPr>
                    <w:t>1</w:t>
                  </w:r>
                  <w:r>
                    <w:rPr>
                      <w:rFonts w:ascii="Times New Roman" w:hAnsi="Times New Roman" w:cs="Times New Roman"/>
                      <w:sz w:val="21"/>
                      <w:szCs w:val="21"/>
                    </w:rPr>
                    <w:t>9</w:t>
                  </w:r>
                  <w:r>
                    <w:rPr>
                      <w:rFonts w:hint="eastAsia" w:ascii="Times New Roman" w:hAnsi="Times New Roman" w:cs="Times New Roman"/>
                      <w:sz w:val="21"/>
                      <w:szCs w:val="21"/>
                    </w:rPr>
                    <w:t>00</w:t>
                  </w:r>
                </w:p>
              </w:tc>
              <w:tc>
                <w:tcPr>
                  <w:tcW w:w="495" w:type="pct"/>
                  <w:tcBorders>
                    <w:tl2br w:val="nil"/>
                    <w:tr2bl w:val="nil"/>
                  </w:tcBorders>
                  <w:vAlign w:val="center"/>
                </w:tcPr>
                <w:p>
                  <w:pPr>
                    <w:widowControl/>
                    <w:spacing w:line="240" w:lineRule="auto"/>
                    <w:jc w:val="center"/>
                    <w:textAlignment w:val="center"/>
                    <w:rPr>
                      <w:rFonts w:ascii="Times New Roman" w:hAnsi="Times New Roman" w:cs="Times New Roman"/>
                      <w:spacing w:val="6"/>
                      <w:sz w:val="21"/>
                      <w:szCs w:val="21"/>
                    </w:rPr>
                  </w:pPr>
                  <w:r>
                    <w:rPr>
                      <w:rFonts w:ascii="Times New Roman" w:hAnsi="Times New Roman" w:eastAsia="宋体" w:cs="Times New Roman"/>
                      <w:kern w:val="0"/>
                      <w:sz w:val="21"/>
                      <w:szCs w:val="21"/>
                      <w:lang w:bidi="ar"/>
                    </w:rPr>
                    <w:t>0</w:t>
                  </w:r>
                </w:p>
              </w:tc>
              <w:tc>
                <w:tcPr>
                  <w:tcW w:w="570" w:type="pct"/>
                  <w:tcBorders>
                    <w:tl2br w:val="nil"/>
                    <w:tr2bl w:val="nil"/>
                  </w:tcBorders>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cs="Times New Roman"/>
                      <w:sz w:val="21"/>
                      <w:szCs w:val="21"/>
                    </w:rPr>
                    <w:t>1</w:t>
                  </w:r>
                  <w:r>
                    <w:rPr>
                      <w:rFonts w:ascii="Times New Roman" w:hAnsi="Times New Roman" w:cs="Times New Roman"/>
                      <w:sz w:val="21"/>
                      <w:szCs w:val="21"/>
                    </w:rPr>
                    <w:t>9</w:t>
                  </w:r>
                  <w:r>
                    <w:rPr>
                      <w:rFonts w:hint="eastAsia" w:ascii="Times New Roman" w:hAnsi="Times New Roman" w:cs="Times New Roman"/>
                      <w:sz w:val="21"/>
                      <w:szCs w:val="21"/>
                    </w:rPr>
                    <w:t>00</w:t>
                  </w:r>
                </w:p>
              </w:tc>
              <w:tc>
                <w:tcPr>
                  <w:tcW w:w="582" w:type="pct"/>
                  <w:tcBorders>
                    <w:tl2br w:val="nil"/>
                    <w:tr2bl w:val="nil"/>
                  </w:tcBorders>
                  <w:vAlign w:val="center"/>
                </w:tcPr>
                <w:p>
                  <w:pPr>
                    <w:widowControl/>
                    <w:spacing w:line="240" w:lineRule="auto"/>
                    <w:jc w:val="center"/>
                    <w:textAlignment w:val="center"/>
                    <w:rPr>
                      <w:rFonts w:ascii="Times New Roman" w:hAnsi="Times New Roman" w:eastAsia="宋体" w:cs="Times New Roman"/>
                      <w:spacing w:val="6"/>
                      <w:sz w:val="21"/>
                      <w:szCs w:val="21"/>
                    </w:rPr>
                  </w:pPr>
                  <w:r>
                    <w:rPr>
                      <w:rFonts w:ascii="Times New Roman" w:hAnsi="Times New Roman" w:eastAsia="宋体" w:cs="Times New Roman"/>
                      <w:kern w:val="0"/>
                      <w:sz w:val="21"/>
                      <w:szCs w:val="21"/>
                      <w:lang w:bidi="ar"/>
                    </w:rPr>
                    <w:t>380</w:t>
                  </w:r>
                </w:p>
              </w:tc>
              <w:tc>
                <w:tcPr>
                  <w:tcW w:w="928" w:type="pct"/>
                  <w:tcBorders>
                    <w:tl2br w:val="nil"/>
                    <w:tr2bl w:val="nil"/>
                  </w:tcBorders>
                  <w:vAlign w:val="center"/>
                </w:tcPr>
                <w:p>
                  <w:pPr>
                    <w:widowControl/>
                    <w:spacing w:line="240" w:lineRule="auto"/>
                    <w:jc w:val="center"/>
                    <w:textAlignment w:val="center"/>
                    <w:rPr>
                      <w:rFonts w:ascii="Times New Roman" w:hAnsi="Times New Roman" w:eastAsia="宋体" w:cs="Times New Roman"/>
                      <w:spacing w:val="6"/>
                      <w:sz w:val="21"/>
                      <w:szCs w:val="21"/>
                    </w:rPr>
                  </w:pPr>
                  <w:r>
                    <w:rPr>
                      <w:rFonts w:ascii="Times New Roman" w:hAnsi="Times New Roman" w:eastAsia="宋体" w:cs="Times New Roman"/>
                      <w:kern w:val="0"/>
                      <w:sz w:val="21"/>
                      <w:szCs w:val="21"/>
                      <w:lang w:bidi="ar"/>
                    </w:rPr>
                    <w:t>1440</w:t>
                  </w:r>
                </w:p>
              </w:tc>
              <w:tc>
                <w:tcPr>
                  <w:tcW w:w="1163" w:type="pct"/>
                  <w:tcBorders>
                    <w:tl2br w:val="nil"/>
                    <w:tr2bl w:val="nil"/>
                  </w:tcBorders>
                  <w:vAlign w:val="center"/>
                </w:tcPr>
                <w:p>
                  <w:pPr>
                    <w:tabs>
                      <w:tab w:val="left" w:pos="7332"/>
                    </w:tabs>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其中化学实验室清洗废液（8</w:t>
                  </w:r>
                  <w:r>
                    <w:rPr>
                      <w:rFonts w:ascii="Times New Roman" w:hAnsi="Times New Roman" w:eastAsia="宋体" w:cs="Times New Roman"/>
                      <w:spacing w:val="6"/>
                      <w:sz w:val="21"/>
                      <w:szCs w:val="21"/>
                    </w:rPr>
                    <w:t>0</w:t>
                  </w:r>
                  <w:r>
                    <w:rPr>
                      <w:rFonts w:hint="eastAsia" w:ascii="Times New Roman" w:hAnsi="Times New Roman" w:eastAsia="宋体" w:cs="Times New Roman"/>
                      <w:spacing w:val="6"/>
                      <w:sz w:val="21"/>
                      <w:szCs w:val="21"/>
                    </w:rPr>
                    <w:t>m</w:t>
                  </w:r>
                  <w:r>
                    <w:rPr>
                      <w:rFonts w:ascii="Times New Roman" w:hAnsi="Times New Roman" w:eastAsia="宋体" w:cs="Times New Roman"/>
                      <w:spacing w:val="6"/>
                      <w:sz w:val="21"/>
                      <w:szCs w:val="21"/>
                      <w:vertAlign w:val="superscript"/>
                    </w:rPr>
                    <w:t>3</w:t>
                  </w:r>
                  <w:r>
                    <w:rPr>
                      <w:rFonts w:ascii="Times New Roman" w:hAnsi="Times New Roman" w:eastAsia="宋体" w:cs="Times New Roman"/>
                      <w:spacing w:val="6"/>
                      <w:sz w:val="21"/>
                      <w:szCs w:val="21"/>
                    </w:rPr>
                    <w:t>/a</w:t>
                  </w:r>
                  <w:r>
                    <w:rPr>
                      <w:rFonts w:hint="eastAsia" w:ascii="Times New Roman" w:hAnsi="Times New Roman" w:eastAsia="宋体" w:cs="Times New Roman"/>
                      <w:spacing w:val="6"/>
                      <w:sz w:val="21"/>
                      <w:szCs w:val="21"/>
                    </w:rPr>
                    <w:t>）由危废收集桶收集不进入污水管网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ascii="Times New Roman" w:hAnsi="Times New Roman" w:cs="Times New Roman"/>
                      <w:sz w:val="21"/>
                      <w:szCs w:val="21"/>
                    </w:rPr>
                    <w:t>绿化用水</w:t>
                  </w:r>
                </w:p>
              </w:tc>
              <w:tc>
                <w:tcPr>
                  <w:tcW w:w="652"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hint="eastAsia" w:ascii="Times New Roman" w:hAnsi="Times New Roman" w:cs="Times New Roman"/>
                      <w:sz w:val="21"/>
                      <w:szCs w:val="21"/>
                    </w:rPr>
                    <w:t>5627.56</w:t>
                  </w:r>
                </w:p>
              </w:tc>
              <w:tc>
                <w:tcPr>
                  <w:tcW w:w="495" w:type="pct"/>
                  <w:tcBorders>
                    <w:tl2br w:val="nil"/>
                    <w:tr2bl w:val="nil"/>
                  </w:tcBorders>
                  <w:vAlign w:val="center"/>
                </w:tcPr>
                <w:p>
                  <w:pPr>
                    <w:widowControl/>
                    <w:spacing w:line="240" w:lineRule="auto"/>
                    <w:jc w:val="center"/>
                    <w:textAlignment w:val="center"/>
                    <w:rPr>
                      <w:rFonts w:ascii="Times New Roman" w:hAnsi="Times New Roman" w:cs="Times New Roman"/>
                      <w:spacing w:val="6"/>
                      <w:sz w:val="21"/>
                      <w:szCs w:val="21"/>
                    </w:rPr>
                  </w:pPr>
                  <w:r>
                    <w:rPr>
                      <w:rFonts w:ascii="Times New Roman" w:hAnsi="Times New Roman" w:eastAsia="宋体" w:cs="Times New Roman"/>
                      <w:kern w:val="0"/>
                      <w:sz w:val="21"/>
                      <w:szCs w:val="21"/>
                      <w:lang w:bidi="ar"/>
                    </w:rPr>
                    <w:t>0</w:t>
                  </w:r>
                </w:p>
              </w:tc>
              <w:tc>
                <w:tcPr>
                  <w:tcW w:w="570" w:type="pct"/>
                  <w:tcBorders>
                    <w:tl2br w:val="nil"/>
                    <w:tr2bl w:val="nil"/>
                  </w:tcBorders>
                  <w:vAlign w:val="center"/>
                </w:tcPr>
                <w:p>
                  <w:pPr>
                    <w:spacing w:line="240" w:lineRule="auto"/>
                    <w:jc w:val="center"/>
                    <w:rPr>
                      <w:rFonts w:ascii="Times New Roman" w:hAnsi="Times New Roman" w:cs="Times New Roman"/>
                      <w:spacing w:val="6"/>
                      <w:sz w:val="21"/>
                      <w:szCs w:val="21"/>
                    </w:rPr>
                  </w:pPr>
                  <w:r>
                    <w:rPr>
                      <w:rFonts w:hint="eastAsia" w:ascii="Times New Roman" w:hAnsi="Times New Roman" w:cs="Times New Roman"/>
                      <w:sz w:val="21"/>
                      <w:szCs w:val="21"/>
                    </w:rPr>
                    <w:t>5627.56</w:t>
                  </w:r>
                </w:p>
              </w:tc>
              <w:tc>
                <w:tcPr>
                  <w:tcW w:w="582" w:type="pct"/>
                  <w:tcBorders>
                    <w:tl2br w:val="nil"/>
                    <w:tr2bl w:val="nil"/>
                  </w:tcBorders>
                  <w:vAlign w:val="center"/>
                </w:tcPr>
                <w:p>
                  <w:pPr>
                    <w:widowControl/>
                    <w:spacing w:line="240" w:lineRule="auto"/>
                    <w:jc w:val="center"/>
                    <w:textAlignment w:val="center"/>
                    <w:rPr>
                      <w:rFonts w:ascii="Times New Roman" w:hAnsi="Times New Roman" w:cs="Times New Roman"/>
                      <w:spacing w:val="6"/>
                      <w:sz w:val="21"/>
                      <w:szCs w:val="21"/>
                    </w:rPr>
                  </w:pPr>
                  <w:r>
                    <w:rPr>
                      <w:rFonts w:ascii="Times New Roman" w:hAnsi="Times New Roman" w:eastAsia="宋体" w:cs="Times New Roman"/>
                      <w:kern w:val="0"/>
                      <w:sz w:val="21"/>
                      <w:szCs w:val="21"/>
                      <w:lang w:bidi="ar"/>
                    </w:rPr>
                    <w:t>5627.56</w:t>
                  </w:r>
                </w:p>
              </w:tc>
              <w:tc>
                <w:tcPr>
                  <w:tcW w:w="928" w:type="pct"/>
                  <w:tcBorders>
                    <w:tl2br w:val="nil"/>
                    <w:tr2bl w:val="nil"/>
                  </w:tcBorders>
                  <w:vAlign w:val="center"/>
                </w:tcPr>
                <w:p>
                  <w:pPr>
                    <w:widowControl/>
                    <w:spacing w:line="240" w:lineRule="auto"/>
                    <w:jc w:val="center"/>
                    <w:textAlignment w:val="center"/>
                    <w:rPr>
                      <w:rFonts w:ascii="Times New Roman" w:hAnsi="Times New Roman" w:cs="Times New Roman"/>
                      <w:spacing w:val="6"/>
                      <w:sz w:val="21"/>
                      <w:szCs w:val="21"/>
                    </w:rPr>
                  </w:pPr>
                  <w:r>
                    <w:rPr>
                      <w:rFonts w:ascii="Times New Roman" w:hAnsi="Times New Roman" w:eastAsia="宋体" w:cs="Times New Roman"/>
                      <w:kern w:val="0"/>
                      <w:sz w:val="21"/>
                      <w:szCs w:val="21"/>
                      <w:lang w:bidi="ar"/>
                    </w:rPr>
                    <w:t>0</w:t>
                  </w:r>
                </w:p>
              </w:tc>
              <w:tc>
                <w:tcPr>
                  <w:tcW w:w="1163" w:type="pct"/>
                  <w:tcBorders>
                    <w:tl2br w:val="nil"/>
                    <w:tr2bl w:val="nil"/>
                  </w:tcBorders>
                  <w:vAlign w:val="center"/>
                </w:tcPr>
                <w:p>
                  <w:pPr>
                    <w:tabs>
                      <w:tab w:val="left" w:pos="7332"/>
                    </w:tabs>
                    <w:spacing w:line="240" w:lineRule="auto"/>
                    <w:jc w:val="center"/>
                    <w:rPr>
                      <w:rFonts w:ascii="Times New Roman" w:hAnsi="Times New Roman" w:cs="Times New Roman"/>
                      <w:spacing w:val="6"/>
                      <w:sz w:val="21"/>
                      <w:szCs w:val="21"/>
                    </w:rPr>
                  </w:pPr>
                  <w:r>
                    <w:rPr>
                      <w:rFonts w:ascii="Times New Roman" w:hAnsi="Times New Roman" w:cs="Times New Roman"/>
                      <w:spacing w:val="6"/>
                      <w:sz w:val="21"/>
                      <w:szCs w:val="21"/>
                    </w:rPr>
                    <w:t>被植被吸收，或被蒸发消耗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10" w:type="pct"/>
                  <w:tcBorders>
                    <w:tl2br w:val="nil"/>
                    <w:tr2bl w:val="nil"/>
                  </w:tcBorders>
                  <w:vAlign w:val="center"/>
                </w:tcPr>
                <w:p>
                  <w:pPr>
                    <w:tabs>
                      <w:tab w:val="left" w:pos="7332"/>
                    </w:tabs>
                    <w:spacing w:line="240" w:lineRule="auto"/>
                    <w:jc w:val="center"/>
                    <w:rPr>
                      <w:rFonts w:ascii="Times New Roman" w:hAnsi="Times New Roman" w:cs="Times New Roman"/>
                      <w:b/>
                      <w:spacing w:val="6"/>
                      <w:sz w:val="21"/>
                      <w:szCs w:val="21"/>
                    </w:rPr>
                  </w:pPr>
                  <w:r>
                    <w:rPr>
                      <w:rFonts w:ascii="Times New Roman" w:hAnsi="Times New Roman" w:cs="Times New Roman"/>
                      <w:b/>
                      <w:spacing w:val="6"/>
                      <w:sz w:val="21"/>
                      <w:szCs w:val="21"/>
                    </w:rPr>
                    <w:t>合计</w:t>
                  </w:r>
                </w:p>
              </w:tc>
              <w:tc>
                <w:tcPr>
                  <w:tcW w:w="652" w:type="pct"/>
                  <w:tcBorders>
                    <w:tl2br w:val="nil"/>
                    <w:tr2bl w:val="nil"/>
                  </w:tcBorders>
                  <w:vAlign w:val="center"/>
                </w:tcPr>
                <w:p>
                  <w:pPr>
                    <w:widowControl/>
                    <w:spacing w:line="240" w:lineRule="auto"/>
                    <w:jc w:val="center"/>
                    <w:textAlignment w:val="center"/>
                    <w:rPr>
                      <w:rFonts w:ascii="Times New Roman" w:hAnsi="Times New Roman" w:cs="Times New Roman"/>
                      <w:b/>
                      <w:bCs/>
                      <w:kern w:val="0"/>
                      <w:sz w:val="21"/>
                      <w:szCs w:val="21"/>
                    </w:rPr>
                  </w:pPr>
                  <w:r>
                    <w:rPr>
                      <w:rFonts w:hint="eastAsia" w:ascii="Times New Roman" w:hAnsi="Times New Roman" w:eastAsia="宋体" w:cs="Times New Roman"/>
                      <w:b/>
                      <w:kern w:val="0"/>
                      <w:sz w:val="21"/>
                      <w:szCs w:val="21"/>
                      <w:lang w:bidi="ar"/>
                    </w:rPr>
                    <w:t>6</w:t>
                  </w:r>
                  <w:r>
                    <w:rPr>
                      <w:rFonts w:ascii="Times New Roman" w:hAnsi="Times New Roman" w:eastAsia="宋体" w:cs="Times New Roman"/>
                      <w:b/>
                      <w:kern w:val="0"/>
                      <w:sz w:val="21"/>
                      <w:szCs w:val="21"/>
                      <w:lang w:bidi="ar"/>
                    </w:rPr>
                    <w:t>2607</w:t>
                  </w:r>
                  <w:r>
                    <w:rPr>
                      <w:rFonts w:hint="eastAsia" w:ascii="Times New Roman" w:hAnsi="Times New Roman" w:eastAsia="宋体" w:cs="Times New Roman"/>
                      <w:b/>
                      <w:kern w:val="0"/>
                      <w:sz w:val="21"/>
                      <w:szCs w:val="21"/>
                      <w:lang w:bidi="ar"/>
                    </w:rPr>
                    <w:t>.56</w:t>
                  </w:r>
                </w:p>
              </w:tc>
              <w:tc>
                <w:tcPr>
                  <w:tcW w:w="495" w:type="pct"/>
                  <w:tcBorders>
                    <w:tl2br w:val="nil"/>
                    <w:tr2bl w:val="nil"/>
                  </w:tcBorders>
                  <w:vAlign w:val="center"/>
                </w:tcPr>
                <w:p>
                  <w:pPr>
                    <w:widowControl/>
                    <w:spacing w:line="240" w:lineRule="auto"/>
                    <w:jc w:val="center"/>
                    <w:textAlignment w:val="center"/>
                    <w:rPr>
                      <w:rFonts w:ascii="Times New Roman" w:hAnsi="Times New Roman" w:eastAsia="宋体" w:cs="Times New Roman"/>
                      <w:b/>
                      <w:kern w:val="0"/>
                      <w:sz w:val="21"/>
                      <w:szCs w:val="21"/>
                      <w:lang w:bidi="ar"/>
                    </w:rPr>
                  </w:pPr>
                  <w:r>
                    <w:rPr>
                      <w:rFonts w:ascii="Times New Roman" w:hAnsi="Times New Roman" w:eastAsia="宋体" w:cs="Times New Roman"/>
                      <w:b/>
                      <w:kern w:val="0"/>
                      <w:sz w:val="21"/>
                      <w:szCs w:val="21"/>
                      <w:lang w:bidi="ar"/>
                    </w:rPr>
                    <w:t>0</w:t>
                  </w:r>
                </w:p>
              </w:tc>
              <w:tc>
                <w:tcPr>
                  <w:tcW w:w="570" w:type="pct"/>
                  <w:tcBorders>
                    <w:tl2br w:val="nil"/>
                    <w:tr2bl w:val="nil"/>
                  </w:tcBorders>
                  <w:vAlign w:val="center"/>
                </w:tcPr>
                <w:p>
                  <w:pPr>
                    <w:widowControl/>
                    <w:spacing w:line="240" w:lineRule="auto"/>
                    <w:jc w:val="center"/>
                    <w:textAlignment w:val="center"/>
                    <w:rPr>
                      <w:rFonts w:ascii="Times New Roman" w:hAnsi="Times New Roman" w:eastAsia="宋体" w:cs="Times New Roman"/>
                      <w:b/>
                      <w:kern w:val="0"/>
                      <w:sz w:val="21"/>
                      <w:szCs w:val="21"/>
                      <w:lang w:bidi="ar"/>
                    </w:rPr>
                  </w:pPr>
                  <w:r>
                    <w:rPr>
                      <w:rFonts w:hint="eastAsia" w:ascii="Times New Roman" w:hAnsi="Times New Roman" w:eastAsia="宋体" w:cs="Times New Roman"/>
                      <w:b/>
                      <w:kern w:val="0"/>
                      <w:sz w:val="21"/>
                      <w:szCs w:val="21"/>
                      <w:lang w:bidi="ar"/>
                    </w:rPr>
                    <w:t>6</w:t>
                  </w:r>
                  <w:r>
                    <w:rPr>
                      <w:rFonts w:ascii="Times New Roman" w:hAnsi="Times New Roman" w:eastAsia="宋体" w:cs="Times New Roman"/>
                      <w:b/>
                      <w:kern w:val="0"/>
                      <w:sz w:val="21"/>
                      <w:szCs w:val="21"/>
                      <w:lang w:bidi="ar"/>
                    </w:rPr>
                    <w:t>2607</w:t>
                  </w:r>
                  <w:r>
                    <w:rPr>
                      <w:rFonts w:hint="eastAsia" w:ascii="Times New Roman" w:hAnsi="Times New Roman" w:eastAsia="宋体" w:cs="Times New Roman"/>
                      <w:b/>
                      <w:kern w:val="0"/>
                      <w:sz w:val="21"/>
                      <w:szCs w:val="21"/>
                      <w:lang w:bidi="ar"/>
                    </w:rPr>
                    <w:t>.56</w:t>
                  </w:r>
                </w:p>
              </w:tc>
              <w:tc>
                <w:tcPr>
                  <w:tcW w:w="582" w:type="pct"/>
                  <w:tcBorders>
                    <w:tl2br w:val="nil"/>
                    <w:tr2bl w:val="nil"/>
                  </w:tcBorders>
                  <w:vAlign w:val="center"/>
                </w:tcPr>
                <w:p>
                  <w:pPr>
                    <w:widowControl/>
                    <w:spacing w:line="240" w:lineRule="auto"/>
                    <w:jc w:val="center"/>
                    <w:textAlignment w:val="center"/>
                    <w:rPr>
                      <w:rFonts w:ascii="Times New Roman" w:hAnsi="Times New Roman" w:eastAsia="宋体" w:cs="Times New Roman"/>
                      <w:b/>
                      <w:kern w:val="0"/>
                      <w:sz w:val="21"/>
                      <w:szCs w:val="21"/>
                      <w:lang w:bidi="ar"/>
                    </w:rPr>
                  </w:pPr>
                  <w:r>
                    <w:rPr>
                      <w:rFonts w:hint="eastAsia" w:ascii="Times New Roman" w:hAnsi="Times New Roman" w:eastAsia="宋体" w:cs="Times New Roman"/>
                      <w:b/>
                      <w:kern w:val="0"/>
                      <w:sz w:val="21"/>
                      <w:szCs w:val="21"/>
                      <w:lang w:bidi="ar"/>
                    </w:rPr>
                    <w:t>1</w:t>
                  </w:r>
                  <w:r>
                    <w:rPr>
                      <w:rFonts w:ascii="Times New Roman" w:hAnsi="Times New Roman" w:eastAsia="宋体" w:cs="Times New Roman"/>
                      <w:b/>
                      <w:kern w:val="0"/>
                      <w:sz w:val="21"/>
                      <w:szCs w:val="21"/>
                      <w:lang w:bidi="ar"/>
                    </w:rPr>
                    <w:t>7023</w:t>
                  </w:r>
                  <w:r>
                    <w:rPr>
                      <w:rFonts w:hint="eastAsia" w:ascii="Times New Roman" w:hAnsi="Times New Roman" w:eastAsia="宋体" w:cs="Times New Roman"/>
                      <w:b/>
                      <w:kern w:val="0"/>
                      <w:sz w:val="21"/>
                      <w:szCs w:val="21"/>
                      <w:lang w:bidi="ar"/>
                    </w:rPr>
                    <w:t>.5</w:t>
                  </w:r>
                  <w:r>
                    <w:rPr>
                      <w:rFonts w:ascii="Times New Roman" w:hAnsi="Times New Roman" w:eastAsia="宋体" w:cs="Times New Roman"/>
                      <w:b/>
                      <w:kern w:val="0"/>
                      <w:sz w:val="21"/>
                      <w:szCs w:val="21"/>
                      <w:lang w:bidi="ar"/>
                    </w:rPr>
                    <w:t>6</w:t>
                  </w:r>
                </w:p>
              </w:tc>
              <w:tc>
                <w:tcPr>
                  <w:tcW w:w="928" w:type="pct"/>
                  <w:tcBorders>
                    <w:tl2br w:val="nil"/>
                    <w:tr2bl w:val="nil"/>
                  </w:tcBorders>
                  <w:vAlign w:val="center"/>
                </w:tcPr>
                <w:p>
                  <w:pPr>
                    <w:widowControl/>
                    <w:spacing w:line="240" w:lineRule="auto"/>
                    <w:jc w:val="center"/>
                    <w:textAlignment w:val="center"/>
                    <w:rPr>
                      <w:rFonts w:ascii="Times New Roman" w:hAnsi="Times New Roman" w:eastAsia="宋体" w:cs="Times New Roman"/>
                      <w:b/>
                      <w:kern w:val="0"/>
                      <w:sz w:val="21"/>
                      <w:szCs w:val="21"/>
                      <w:lang w:bidi="ar"/>
                    </w:rPr>
                  </w:pPr>
                  <w:r>
                    <w:rPr>
                      <w:rFonts w:ascii="Times New Roman" w:hAnsi="Times New Roman" w:eastAsia="宋体" w:cs="Times New Roman"/>
                      <w:b/>
                      <w:kern w:val="0"/>
                      <w:sz w:val="21"/>
                      <w:szCs w:val="21"/>
                      <w:lang w:bidi="ar"/>
                    </w:rPr>
                    <w:t>45504</w:t>
                  </w:r>
                </w:p>
              </w:tc>
              <w:tc>
                <w:tcPr>
                  <w:tcW w:w="1163" w:type="pct"/>
                  <w:tcBorders>
                    <w:tl2br w:val="nil"/>
                    <w:tr2bl w:val="nil"/>
                  </w:tcBorders>
                  <w:vAlign w:val="center"/>
                </w:tcPr>
                <w:p>
                  <w:pPr>
                    <w:tabs>
                      <w:tab w:val="left" w:pos="7332"/>
                    </w:tabs>
                    <w:spacing w:line="240" w:lineRule="auto"/>
                    <w:jc w:val="center"/>
                    <w:rPr>
                      <w:rFonts w:ascii="Times New Roman" w:hAnsi="Times New Roman" w:eastAsia="宋体" w:cs="Times New Roman"/>
                      <w:b/>
                      <w:spacing w:val="6"/>
                      <w:sz w:val="21"/>
                      <w:szCs w:val="21"/>
                    </w:rPr>
                  </w:pPr>
                  <w:r>
                    <w:rPr>
                      <w:rFonts w:ascii="Times New Roman" w:hAnsi="Times New Roman" w:cs="Times New Roman"/>
                      <w:b/>
                      <w:spacing w:val="6"/>
                      <w:sz w:val="21"/>
                      <w:szCs w:val="21"/>
                    </w:rPr>
                    <w:t>/</w:t>
                  </w:r>
                </w:p>
              </w:tc>
            </w:tr>
          </w:tbl>
          <w:p>
            <w:pPr>
              <w:spacing w:line="360" w:lineRule="auto"/>
              <w:ind w:firstLine="480" w:firstLineChars="200"/>
              <w:jc w:val="left"/>
              <w:rPr>
                <w:rFonts w:ascii="Times New Roman" w:hAnsi="Times New Roman" w:cs="Times New Roman"/>
              </w:rPr>
            </w:pPr>
            <w:r>
              <w:rPr>
                <w:rFonts w:ascii="Times New Roman" w:hAnsi="Times New Roman" w:cs="Times New Roman"/>
              </w:rPr>
              <w:t>水平衡图详见下图。</w:t>
            </w:r>
          </w:p>
          <w:p>
            <w:pPr>
              <w:spacing w:line="360" w:lineRule="auto"/>
              <w:ind w:firstLine="480" w:firstLineChars="200"/>
              <w:jc w:val="left"/>
              <w:rPr>
                <w:rFonts w:ascii="Times New Roman" w:hAnsi="Times New Roman" w:eastAsia="黑体" w:cs="Times New Roman"/>
                <w:szCs w:val="21"/>
              </w:rPr>
            </w:pPr>
            <w:r>
              <w:rPr>
                <w:rFonts w:ascii="Times New Roman" w:hAnsi="Times New Roman" w:eastAsia="黑体"/>
                <w:szCs w:val="21"/>
              </w:rPr>
              <w:object>
                <v:shape id="_x0000_i1027" o:spt="75" type="#_x0000_t75" style="height:199.2pt;width:373.8pt;" o:ole="t" filled="f" o:preferrelative="t" stroked="f" coordsize="21600,21600">
                  <v:path/>
                  <v:fill on="f" focussize="0,0"/>
                  <v:stroke on="f" joinstyle="miter"/>
                  <v:imagedata r:id="rId10" o:title=""/>
                  <o:lock v:ext="edit" aspectratio="f"/>
                  <w10:wrap type="none"/>
                  <w10:anchorlock/>
                </v:shape>
                <o:OLEObject Type="Embed" ProgID="Visio.Drawing.11" ShapeID="_x0000_i1027" DrawAspect="Content" ObjectID="_1468075727" r:id="rId9">
                  <o:LockedField>false</o:LockedField>
                </o:OLEObject>
              </w:object>
            </w:r>
          </w:p>
          <w:p>
            <w:pPr>
              <w:spacing w:line="360" w:lineRule="auto"/>
              <w:jc w:val="center"/>
              <w:rPr>
                <w:rFonts w:ascii="Times New Roman" w:hAnsi="Times New Roman" w:cs="Times New Roman"/>
                <w:b/>
                <w:bCs/>
              </w:rPr>
            </w:pPr>
            <w:r>
              <w:rPr>
                <w:rFonts w:ascii="Times New Roman" w:hAnsi="Times New Roman" w:cs="Times New Roman"/>
                <w:b/>
                <w:bCs/>
              </w:rPr>
              <w:t>图5-3  项目</w:t>
            </w:r>
            <w:r>
              <w:rPr>
                <w:rFonts w:hint="eastAsia" w:ascii="Times New Roman" w:hAnsi="Times New Roman" w:cs="Times New Roman"/>
                <w:b/>
                <w:bCs/>
              </w:rPr>
              <w:t>运营期</w:t>
            </w:r>
            <w:r>
              <w:rPr>
                <w:rFonts w:ascii="Times New Roman" w:hAnsi="Times New Roman" w:cs="Times New Roman"/>
                <w:b/>
                <w:bCs/>
              </w:rPr>
              <w:t>用水平衡分析图  单位：m</w:t>
            </w:r>
            <w:r>
              <w:rPr>
                <w:rFonts w:ascii="Times New Roman" w:hAnsi="Times New Roman" w:cs="Times New Roman"/>
                <w:b/>
                <w:bCs/>
                <w:vertAlign w:val="superscript"/>
              </w:rPr>
              <w:t>3</w:t>
            </w:r>
            <w:r>
              <w:rPr>
                <w:rFonts w:ascii="Times New Roman" w:hAnsi="Times New Roman" w:cs="Times New Roman"/>
                <w:b/>
                <w:bCs/>
              </w:rPr>
              <w:t>/a</w:t>
            </w:r>
          </w:p>
          <w:p>
            <w:pPr>
              <w:pStyle w:val="5"/>
              <w:ind w:firstLine="562"/>
            </w:pPr>
            <w:bookmarkStart w:id="39" w:name="_Toc34059511"/>
            <w:r>
              <w:rPr>
                <w:rFonts w:hint="eastAsia"/>
              </w:rPr>
              <w:t>2、</w:t>
            </w:r>
            <w:r>
              <w:t>主要污染工序：</w:t>
            </w:r>
            <w:bookmarkEnd w:id="39"/>
          </w:p>
          <w:p>
            <w:pPr>
              <w:pStyle w:val="6"/>
              <w:ind w:firstLine="482"/>
            </w:pPr>
            <w:bookmarkStart w:id="40" w:name="_Toc34059512"/>
            <w:r>
              <w:rPr>
                <w:rFonts w:hint="eastAsia"/>
              </w:rPr>
              <w:t>2.1</w:t>
            </w:r>
            <w:r>
              <w:t>施工期主要污染源</w:t>
            </w:r>
            <w:bookmarkEnd w:id="40"/>
          </w:p>
          <w:p>
            <w:pPr>
              <w:spacing w:line="360" w:lineRule="auto"/>
              <w:ind w:firstLine="480" w:firstLineChars="200"/>
              <w:jc w:val="left"/>
              <w:rPr>
                <w:rFonts w:ascii="Times New Roman" w:hAnsi="Times New Roman" w:eastAsia="宋体" w:cs="Times New Roman"/>
                <w:szCs w:val="24"/>
              </w:rPr>
            </w:pPr>
            <w:r>
              <w:rPr>
                <w:rFonts w:hint="eastAsia" w:ascii="Times New Roman" w:hAnsi="Times New Roman" w:cs="Times New Roman"/>
                <w:szCs w:val="24"/>
              </w:rPr>
              <w:t>2.1.1</w:t>
            </w:r>
            <w:r>
              <w:rPr>
                <w:rFonts w:ascii="Times New Roman" w:hAnsi="Times New Roman" w:cs="Times New Roman"/>
                <w:szCs w:val="24"/>
              </w:rPr>
              <w:t>废气</w:t>
            </w:r>
          </w:p>
          <w:p>
            <w:pPr>
              <w:spacing w:line="360" w:lineRule="auto"/>
              <w:ind w:firstLine="480" w:firstLineChars="200"/>
              <w:jc w:val="left"/>
              <w:rPr>
                <w:rFonts w:ascii="Times New Roman" w:hAnsi="Times New Roman" w:cs="Times New Roman"/>
                <w:szCs w:val="24"/>
              </w:rPr>
            </w:pPr>
            <w:r>
              <w:rPr>
                <w:rFonts w:hint="eastAsia" w:ascii="Times New Roman" w:hAnsi="Times New Roman" w:cs="Times New Roman"/>
                <w:szCs w:val="24"/>
              </w:rPr>
              <w:t>（1）运输扬尘与施工扬尘</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项目不设混凝土搅拌站，直接购买商品混凝土，故项目施工期对空气产生影响的主要污染物是扬尘（TSP）、汽车尾气、土石方施工粉尘和建筑装饰时产生的废气。</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施工产生的扬尘主要集中在土建施工阶段。按起尘的原因可分为风力起尘和动力起尘，其中风力起尘主要是由于露天堆放的建材(如黄沙、水泥等)及裸露的施工区表层浮尘，因天气干燥及大风，产尘扬尘；而动力起尘主要是在建材的装卸、搅拌过程中，由于外力而产生的尘粒再悬浮而造成，其中施工运输车辆产生的扬尘污染较为严重。</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由于施工的需要，一些建材需露天堆放；一些施工点表层土壤需人工开挖、临时堆放，在气候干燥且有风的情况下会产生扬尘。这类扬尘的主要特点是与风速等气象条件有关，也与尘粒本身的沉降速度有关，主要影响范围在扬尘点下风向近距离范围内。扬尘浓度随距离变化情况见表5-3。</w:t>
            </w:r>
          </w:p>
          <w:p>
            <w:pPr>
              <w:spacing w:line="360" w:lineRule="auto"/>
              <w:jc w:val="center"/>
              <w:rPr>
                <w:rFonts w:ascii="Times New Roman" w:hAnsi="Times New Roman" w:cs="Times New Roman"/>
                <w:b/>
                <w:bCs/>
              </w:rPr>
            </w:pPr>
            <w:r>
              <w:rPr>
                <w:rFonts w:ascii="Times New Roman" w:hAnsi="Times New Roman" w:cs="Times New Roman"/>
                <w:b/>
                <w:bCs/>
              </w:rPr>
              <w:t>表5-3  扬尘浓度随距离变化情况一览表(TSP)</w:t>
            </w:r>
          </w:p>
          <w:tbl>
            <w:tblPr>
              <w:tblStyle w:val="23"/>
              <w:tblW w:w="0" w:type="auto"/>
              <w:jc w:val="center"/>
              <w:tblBorders>
                <w:top w:val="single" w:color="000000" w:sz="12" w:space="0"/>
                <w:left w:val="none" w:color="auto" w:sz="0" w:space="0"/>
                <w:bottom w:val="single" w:color="000000" w:sz="12" w:space="0"/>
                <w:right w:val="none" w:color="auto" w:sz="0" w:space="0"/>
                <w:insideH w:val="single" w:color="000000" w:sz="12" w:space="0"/>
                <w:insideV w:val="single" w:color="000000" w:sz="6" w:space="0"/>
              </w:tblBorders>
              <w:tblLayout w:type="autofit"/>
              <w:tblCellMar>
                <w:top w:w="0" w:type="dxa"/>
                <w:left w:w="108" w:type="dxa"/>
                <w:bottom w:w="0" w:type="dxa"/>
                <w:right w:w="108" w:type="dxa"/>
              </w:tblCellMar>
            </w:tblPr>
            <w:tblGrid>
              <w:gridCol w:w="2302"/>
              <w:gridCol w:w="1517"/>
              <w:gridCol w:w="1452"/>
              <w:gridCol w:w="1518"/>
              <w:gridCol w:w="1517"/>
            </w:tblGrid>
            <w:tr>
              <w:tblPrEx>
                <w:tblBorders>
                  <w:top w:val="single" w:color="000000" w:sz="12" w:space="0"/>
                  <w:left w:val="none" w:color="auto" w:sz="0" w:space="0"/>
                  <w:bottom w:val="single" w:color="000000" w:sz="12" w:space="0"/>
                  <w:right w:val="none" w:color="auto" w:sz="0" w:space="0"/>
                  <w:insideH w:val="single" w:color="000000" w:sz="12" w:space="0"/>
                  <w:insideV w:val="single" w:color="000000" w:sz="6" w:space="0"/>
                </w:tblBorders>
                <w:tblCellMar>
                  <w:top w:w="0" w:type="dxa"/>
                  <w:left w:w="108" w:type="dxa"/>
                  <w:bottom w:w="0" w:type="dxa"/>
                  <w:right w:w="108" w:type="dxa"/>
                </w:tblCellMar>
              </w:tblPrEx>
              <w:trPr>
                <w:trHeight w:val="389" w:hRule="atLeast"/>
                <w:jc w:val="center"/>
              </w:trPr>
              <w:tc>
                <w:tcPr>
                  <w:tcW w:w="2580"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距扬尘点距离</w:t>
                  </w:r>
                </w:p>
              </w:tc>
              <w:tc>
                <w:tcPr>
                  <w:tcW w:w="166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25m</w:t>
                  </w:r>
                </w:p>
              </w:tc>
              <w:tc>
                <w:tcPr>
                  <w:tcW w:w="15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50m</w:t>
                  </w:r>
                </w:p>
              </w:tc>
              <w:tc>
                <w:tcPr>
                  <w:tcW w:w="166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100m</w:t>
                  </w:r>
                </w:p>
              </w:tc>
              <w:tc>
                <w:tcPr>
                  <w:tcW w:w="166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200m</w:t>
                  </w:r>
                </w:p>
              </w:tc>
            </w:tr>
            <w:tr>
              <w:tblPrEx>
                <w:tblBorders>
                  <w:top w:val="single" w:color="000000" w:sz="12" w:space="0"/>
                  <w:left w:val="none" w:color="auto" w:sz="0" w:space="0"/>
                  <w:bottom w:val="single" w:color="000000" w:sz="12" w:space="0"/>
                  <w:right w:val="none" w:color="auto" w:sz="0" w:space="0"/>
                  <w:insideH w:val="single" w:color="000000" w:sz="12" w:space="0"/>
                  <w:insideV w:val="single" w:color="000000" w:sz="6" w:space="0"/>
                </w:tblBorders>
                <w:tblCellMar>
                  <w:top w:w="0" w:type="dxa"/>
                  <w:left w:w="108" w:type="dxa"/>
                  <w:bottom w:w="0" w:type="dxa"/>
                  <w:right w:w="108" w:type="dxa"/>
                </w:tblCellMar>
              </w:tblPrEx>
              <w:trPr>
                <w:trHeight w:val="438" w:hRule="atLeast"/>
                <w:jc w:val="center"/>
              </w:trPr>
              <w:tc>
                <w:tcPr>
                  <w:tcW w:w="2580"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浓度范围(mg/m</w:t>
                  </w:r>
                  <w:r>
                    <w:rPr>
                      <w:rFonts w:ascii="Times New Roman" w:hAnsi="Times New Roman" w:eastAsia="宋体" w:cs="Times New Roman"/>
                      <w:sz w:val="21"/>
                      <w:szCs w:val="21"/>
                      <w:vertAlign w:val="superscript"/>
                    </w:rPr>
                    <w:t>3</w:t>
                  </w:r>
                  <w:r>
                    <w:rPr>
                      <w:rFonts w:ascii="Times New Roman" w:hAnsi="Times New Roman" w:eastAsia="宋体" w:cs="Times New Roman"/>
                      <w:sz w:val="21"/>
                      <w:szCs w:val="21"/>
                    </w:rPr>
                    <w:t>)</w:t>
                  </w:r>
                </w:p>
              </w:tc>
              <w:tc>
                <w:tcPr>
                  <w:tcW w:w="166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0.37～1.10</w:t>
                  </w:r>
                </w:p>
              </w:tc>
              <w:tc>
                <w:tcPr>
                  <w:tcW w:w="15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0.3l～0.98</w:t>
                  </w:r>
                </w:p>
              </w:tc>
              <w:tc>
                <w:tcPr>
                  <w:tcW w:w="166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0.21～0.76</w:t>
                  </w:r>
                </w:p>
              </w:tc>
              <w:tc>
                <w:tcPr>
                  <w:tcW w:w="166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0.18～0.27</w:t>
                  </w:r>
                </w:p>
              </w:tc>
            </w:tr>
          </w:tbl>
          <w:p>
            <w:pPr>
              <w:spacing w:line="360" w:lineRule="auto"/>
              <w:ind w:firstLine="480" w:firstLineChars="200"/>
              <w:rPr>
                <w:rFonts w:ascii="Times New Roman" w:hAnsi="Times New Roman" w:cs="Times New Roman"/>
                <w:szCs w:val="24"/>
              </w:rPr>
            </w:pPr>
            <w:r>
              <w:rPr>
                <w:rFonts w:ascii="Times New Roman" w:hAnsi="Times New Roman" w:cs="Times New Roman"/>
                <w:szCs w:val="24"/>
              </w:rPr>
              <w:t>据有关文献资料介绍，车辆行驶产生的扬尘占总扬尘的60％上。车辆行驶产生的扬尘，在完全干燥情况下，可按下列经验公式计算：</w:t>
            </w:r>
          </w:p>
          <w:p>
            <w:pPr>
              <w:spacing w:line="360" w:lineRule="auto"/>
              <w:ind w:firstLine="480"/>
              <w:jc w:val="center"/>
              <w:rPr>
                <w:rFonts w:ascii="Times New Roman" w:hAnsi="Times New Roman" w:cs="Times New Roman"/>
                <w:spacing w:val="11"/>
                <w:szCs w:val="24"/>
              </w:rPr>
            </w:pPr>
            <w:r>
              <w:rPr>
                <w:rFonts w:ascii="Times New Roman" w:hAnsi="Times New Roman" w:cs="Times New Roman"/>
                <w:spacing w:val="11"/>
                <w:szCs w:val="24"/>
              </w:rPr>
              <w:t>Q＝0.123(v/5)(W/6.8)</w:t>
            </w:r>
            <w:r>
              <w:rPr>
                <w:rFonts w:ascii="Times New Roman" w:hAnsi="Times New Roman" w:cs="Times New Roman"/>
                <w:spacing w:val="11"/>
                <w:szCs w:val="24"/>
                <w:vertAlign w:val="superscript"/>
              </w:rPr>
              <w:t>0.85</w:t>
            </w:r>
            <w:r>
              <w:rPr>
                <w:rFonts w:ascii="Times New Roman" w:hAnsi="Times New Roman" w:cs="Times New Roman"/>
                <w:spacing w:val="11"/>
                <w:szCs w:val="24"/>
              </w:rPr>
              <w:t>(P/0.5)</w:t>
            </w:r>
            <w:r>
              <w:rPr>
                <w:rFonts w:ascii="Times New Roman" w:hAnsi="Times New Roman" w:cs="Times New Roman"/>
                <w:spacing w:val="11"/>
                <w:szCs w:val="24"/>
                <w:vertAlign w:val="superscript"/>
              </w:rPr>
              <w:t>0.75</w:t>
            </w:r>
          </w:p>
          <w:p>
            <w:pPr>
              <w:spacing w:line="360" w:lineRule="auto"/>
              <w:ind w:firstLine="524" w:firstLineChars="200"/>
              <w:rPr>
                <w:rFonts w:ascii="Times New Roman" w:hAnsi="Times New Roman" w:cs="Times New Roman"/>
                <w:spacing w:val="11"/>
                <w:szCs w:val="24"/>
              </w:rPr>
            </w:pPr>
            <w:r>
              <w:rPr>
                <w:rFonts w:ascii="Times New Roman" w:hAnsi="Times New Roman" w:cs="Times New Roman"/>
                <w:spacing w:val="11"/>
                <w:szCs w:val="24"/>
              </w:rPr>
              <w:t>式中：Q—汽车行驶的扬尘，kg/km·辆；</w:t>
            </w:r>
          </w:p>
          <w:p>
            <w:pPr>
              <w:spacing w:line="360" w:lineRule="auto"/>
              <w:ind w:firstLine="480"/>
              <w:rPr>
                <w:rFonts w:ascii="Times New Roman" w:hAnsi="Times New Roman" w:cs="Times New Roman"/>
                <w:spacing w:val="11"/>
                <w:szCs w:val="24"/>
              </w:rPr>
            </w:pPr>
            <w:r>
              <w:rPr>
                <w:rFonts w:ascii="Times New Roman" w:hAnsi="Times New Roman" w:cs="Times New Roman"/>
                <w:spacing w:val="11"/>
                <w:szCs w:val="24"/>
              </w:rPr>
              <w:t xml:space="preserve">      V—汽车速度，km/hr；</w:t>
            </w:r>
          </w:p>
          <w:p>
            <w:pPr>
              <w:spacing w:line="360" w:lineRule="auto"/>
              <w:ind w:firstLine="480"/>
              <w:rPr>
                <w:rFonts w:ascii="Times New Roman" w:hAnsi="Times New Roman" w:cs="Times New Roman"/>
                <w:spacing w:val="11"/>
                <w:szCs w:val="24"/>
              </w:rPr>
            </w:pPr>
            <w:r>
              <w:rPr>
                <w:rFonts w:ascii="Times New Roman" w:hAnsi="Times New Roman" w:cs="Times New Roman"/>
                <w:spacing w:val="11"/>
                <w:szCs w:val="24"/>
              </w:rPr>
              <w:t xml:space="preserve">      W—汽车载重量，吨；</w:t>
            </w:r>
          </w:p>
          <w:p>
            <w:pPr>
              <w:spacing w:line="360" w:lineRule="auto"/>
              <w:ind w:firstLine="480"/>
              <w:rPr>
                <w:rFonts w:ascii="Times New Roman" w:hAnsi="Times New Roman" w:cs="Times New Roman"/>
                <w:spacing w:val="11"/>
                <w:szCs w:val="24"/>
              </w:rPr>
            </w:pPr>
            <w:r>
              <w:rPr>
                <w:rFonts w:ascii="Times New Roman" w:hAnsi="Times New Roman" w:cs="Times New Roman"/>
                <w:spacing w:val="11"/>
                <w:szCs w:val="24"/>
              </w:rPr>
              <w:t xml:space="preserve">      P—道路表面粉尘量，kg/m</w:t>
            </w:r>
            <w:r>
              <w:rPr>
                <w:rFonts w:ascii="Times New Roman" w:hAnsi="Times New Roman" w:cs="Times New Roman"/>
                <w:spacing w:val="11"/>
                <w:szCs w:val="24"/>
                <w:vertAlign w:val="superscript"/>
              </w:rPr>
              <w:t>2</w:t>
            </w:r>
            <w:r>
              <w:rPr>
                <w:rFonts w:ascii="Times New Roman" w:hAnsi="Times New Roman" w:cs="Times New Roman"/>
                <w:spacing w:val="11"/>
                <w:szCs w:val="24"/>
              </w:rPr>
              <w:t>。</w:t>
            </w:r>
          </w:p>
          <w:p>
            <w:pPr>
              <w:spacing w:line="360" w:lineRule="auto"/>
              <w:ind w:firstLine="480"/>
              <w:rPr>
                <w:rFonts w:ascii="Times New Roman" w:hAnsi="Times New Roman" w:cs="Times New Roman"/>
                <w:szCs w:val="24"/>
              </w:rPr>
            </w:pPr>
            <w:r>
              <w:rPr>
                <w:rFonts w:ascii="Times New Roman" w:hAnsi="Times New Roman" w:cs="Times New Roman"/>
                <w:szCs w:val="24"/>
              </w:rPr>
              <w:t>表5-4为一辆10吨卡车，通过一段长度为lkm的路面时，不同路面清洁程度，不同行驶速度情况下的扬尘量。</w:t>
            </w:r>
          </w:p>
          <w:p>
            <w:pPr>
              <w:spacing w:line="360" w:lineRule="auto"/>
              <w:jc w:val="center"/>
              <w:rPr>
                <w:rFonts w:ascii="Times New Roman" w:hAnsi="Times New Roman" w:cs="Times New Roman"/>
                <w:b/>
                <w:bCs/>
              </w:rPr>
            </w:pPr>
            <w:r>
              <w:rPr>
                <w:rFonts w:ascii="Times New Roman" w:hAnsi="Times New Roman" w:cs="Times New Roman"/>
                <w:b/>
                <w:bCs/>
              </w:rPr>
              <w:t>表5-4</w:t>
            </w:r>
            <w:r>
              <w:rPr>
                <w:rFonts w:hint="eastAsia" w:ascii="Times New Roman" w:hAnsi="Times New Roman" w:cs="Times New Roman"/>
                <w:b/>
                <w:bCs/>
                <w:lang w:val="en-US" w:eastAsia="zh-CN"/>
              </w:rPr>
              <w:t xml:space="preserve"> </w:t>
            </w:r>
            <w:r>
              <w:rPr>
                <w:rFonts w:ascii="Times New Roman" w:hAnsi="Times New Roman" w:cs="Times New Roman"/>
                <w:b/>
                <w:bCs/>
              </w:rPr>
              <w:t xml:space="preserve"> 在不同车速和地面清洁程度的汽车扬尘 单位：kg/辆·km</w:t>
            </w:r>
          </w:p>
          <w:tbl>
            <w:tblPr>
              <w:tblStyle w:val="23"/>
              <w:tblW w:w="0" w:type="auto"/>
              <w:tblInd w:w="15"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0" w:type="dxa"/>
                <w:bottom w:w="0" w:type="dxa"/>
                <w:right w:w="0" w:type="dxa"/>
              </w:tblCellMar>
            </w:tblPr>
            <w:tblGrid>
              <w:gridCol w:w="1251"/>
              <w:gridCol w:w="1114"/>
              <w:gridCol w:w="1190"/>
              <w:gridCol w:w="1183"/>
              <w:gridCol w:w="1197"/>
              <w:gridCol w:w="1206"/>
              <w:gridCol w:w="1150"/>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427"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6985</wp:posOffset>
                            </wp:positionV>
                            <wp:extent cx="885825" cy="409575"/>
                            <wp:effectExtent l="1905" t="4445" r="7620" b="5080"/>
                            <wp:wrapNone/>
                            <wp:docPr id="2" name="直接连接符 2"/>
                            <wp:cNvGraphicFramePr/>
                            <a:graphic xmlns:a="http://schemas.openxmlformats.org/drawingml/2006/main">
                              <a:graphicData uri="http://schemas.microsoft.com/office/word/2010/wordprocessingShape">
                                <wps:wsp>
                                  <wps:cNvCnPr/>
                                  <wps:spPr>
                                    <a:xfrm>
                                      <a:off x="0" y="0"/>
                                      <a:ext cx="885825" cy="4095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35pt;margin-top:0.55pt;height:32.25pt;width:69.75pt;z-index:251661312;mso-width-relative:page;mso-height-relative:page;" filled="f" stroked="t" coordsize="21600,21600" o:gfxdata="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dVpWtMAAAAFAQAADwAAAAAAAAABACAAAAAiAAAA&#10;ZHJzL2Rvd25yZXYueG1sUEsBAhQAFAAAAAgAh07iQIeZl/7TAQAAjgMAAA4AAAAAAAAAAQAgAAAA&#10;IgEAAGRycy9lMm9Eb2MueG1sUEsFBgAAAAAGAAYAWQEAAGcFAAAAAA==&#10;">
                            <v:fill on="f" focussize="0,0"/>
                            <v:stroke color="#000000" joinstyle="round"/>
                            <v:imagedata o:title=""/>
                            <o:lock v:ext="edit" aspectratio="f"/>
                          </v:line>
                        </w:pict>
                      </mc:Fallback>
                    </mc:AlternateContent>
                  </w:r>
                  <w:r>
                    <w:rPr>
                      <w:rFonts w:ascii="Times New Roman" w:hAnsi="Times New Roman" w:eastAsia="宋体" w:cs="Times New Roman"/>
                      <w:b/>
                      <w:bCs/>
                      <w:sz w:val="21"/>
                    </w:rPr>
                    <w:t>P</w:t>
                  </w:r>
                </w:p>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车速</w:t>
                  </w:r>
                </w:p>
              </w:tc>
              <w:tc>
                <w:tcPr>
                  <w:tcW w:w="1192"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0.1(kg/m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c>
                <w:tcPr>
                  <w:tcW w:w="1301"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0.2(kg/m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c>
                <w:tcPr>
                  <w:tcW w:w="1292"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0.3(kg/m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c>
                <w:tcPr>
                  <w:tcW w:w="1311"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0.4(kg/m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c>
                <w:tcPr>
                  <w:tcW w:w="1324"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0.5(kg/m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c>
                <w:tcPr>
                  <w:tcW w:w="1309" w:type="dxa"/>
                  <w:tcBorders>
                    <w:bottom w:val="single" w:color="000000" w:sz="12" w:space="0"/>
                  </w:tcBorders>
                  <w:vAlign w:val="center"/>
                </w:tcPr>
                <w:p>
                  <w:pPr>
                    <w:pStyle w:val="8"/>
                    <w:spacing w:line="240" w:lineRule="auto"/>
                    <w:ind w:firstLine="0" w:firstLineChars="0"/>
                    <w:jc w:val="center"/>
                    <w:rPr>
                      <w:rFonts w:ascii="Times New Roman" w:hAnsi="Times New Roman" w:eastAsia="宋体" w:cs="Times New Roman"/>
                      <w:b/>
                      <w:bCs/>
                      <w:sz w:val="21"/>
                    </w:rPr>
                  </w:pPr>
                  <w:r>
                    <w:rPr>
                      <w:rFonts w:ascii="Times New Roman" w:hAnsi="Times New Roman" w:eastAsia="宋体" w:cs="Times New Roman"/>
                      <w:b/>
                      <w:bCs/>
                      <w:sz w:val="21"/>
                    </w:rPr>
                    <w:t>l(kg/m</w:t>
                  </w:r>
                  <w:r>
                    <w:rPr>
                      <w:rFonts w:ascii="Times New Roman" w:hAnsi="Times New Roman" w:eastAsia="宋体" w:cs="Times New Roman"/>
                      <w:b/>
                      <w:bCs/>
                      <w:sz w:val="21"/>
                      <w:vertAlign w:val="superscript"/>
                    </w:rPr>
                    <w:t>2</w:t>
                  </w:r>
                  <w:r>
                    <w:rPr>
                      <w:rFonts w:ascii="Times New Roman" w:hAnsi="Times New Roman" w:eastAsia="宋体" w:cs="Times New Roman"/>
                      <w:b/>
                      <w:bCs/>
                      <w:sz w:val="21"/>
                    </w:rPr>
                    <w:t>)</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427"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5(km/hr)</w:t>
                  </w:r>
                </w:p>
              </w:tc>
              <w:tc>
                <w:tcPr>
                  <w:tcW w:w="1192"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0.051056</w:t>
                  </w:r>
                </w:p>
              </w:tc>
              <w:tc>
                <w:tcPr>
                  <w:tcW w:w="1301"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0.081865</w:t>
                  </w:r>
                </w:p>
              </w:tc>
              <w:tc>
                <w:tcPr>
                  <w:tcW w:w="1292"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0.116382</w:t>
                  </w:r>
                </w:p>
              </w:tc>
              <w:tc>
                <w:tcPr>
                  <w:tcW w:w="1311"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0.144408</w:t>
                  </w:r>
                </w:p>
              </w:tc>
              <w:tc>
                <w:tcPr>
                  <w:tcW w:w="1324"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0.170715</w:t>
                  </w:r>
                </w:p>
              </w:tc>
              <w:tc>
                <w:tcPr>
                  <w:tcW w:w="1309" w:type="dxa"/>
                  <w:tcBorders>
                    <w:top w:val="single" w:color="000000" w:sz="12" w:space="0"/>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0.287108</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427"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10(km/hr)</w:t>
                  </w:r>
                </w:p>
              </w:tc>
              <w:tc>
                <w:tcPr>
                  <w:tcW w:w="11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0.102112</w:t>
                  </w:r>
                </w:p>
              </w:tc>
              <w:tc>
                <w:tcPr>
                  <w:tcW w:w="130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0.171731</w:t>
                  </w:r>
                </w:p>
              </w:tc>
              <w:tc>
                <w:tcPr>
                  <w:tcW w:w="12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0.232764</w:t>
                  </w:r>
                </w:p>
              </w:tc>
              <w:tc>
                <w:tcPr>
                  <w:tcW w:w="131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0.288815</w:t>
                  </w:r>
                </w:p>
              </w:tc>
              <w:tc>
                <w:tcPr>
                  <w:tcW w:w="1324"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0.31431</w:t>
                  </w:r>
                </w:p>
              </w:tc>
              <w:tc>
                <w:tcPr>
                  <w:tcW w:w="1309"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0.574216</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427"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15(km/hr)</w:t>
                  </w:r>
                </w:p>
              </w:tc>
              <w:tc>
                <w:tcPr>
                  <w:tcW w:w="11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0.153167</w:t>
                  </w:r>
                </w:p>
              </w:tc>
              <w:tc>
                <w:tcPr>
                  <w:tcW w:w="130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0.257596</w:t>
                  </w:r>
                </w:p>
              </w:tc>
              <w:tc>
                <w:tcPr>
                  <w:tcW w:w="12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0.349146</w:t>
                  </w:r>
                </w:p>
              </w:tc>
              <w:tc>
                <w:tcPr>
                  <w:tcW w:w="131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0.433223</w:t>
                  </w:r>
                </w:p>
              </w:tc>
              <w:tc>
                <w:tcPr>
                  <w:tcW w:w="1324"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0.512146</w:t>
                  </w:r>
                </w:p>
              </w:tc>
              <w:tc>
                <w:tcPr>
                  <w:tcW w:w="1309"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0.861323</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427"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25(km/ hr)</w:t>
                  </w:r>
                </w:p>
              </w:tc>
              <w:tc>
                <w:tcPr>
                  <w:tcW w:w="11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0.255279</w:t>
                  </w:r>
                </w:p>
              </w:tc>
              <w:tc>
                <w:tcPr>
                  <w:tcW w:w="130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0.429326</w:t>
                  </w:r>
                </w:p>
              </w:tc>
              <w:tc>
                <w:tcPr>
                  <w:tcW w:w="1292"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0.58191</w:t>
                  </w:r>
                </w:p>
              </w:tc>
              <w:tc>
                <w:tcPr>
                  <w:tcW w:w="1311"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0.722038</w:t>
                  </w:r>
                </w:p>
              </w:tc>
              <w:tc>
                <w:tcPr>
                  <w:tcW w:w="1324"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0.853577</w:t>
                  </w:r>
                </w:p>
              </w:tc>
              <w:tc>
                <w:tcPr>
                  <w:tcW w:w="1309" w:type="dxa"/>
                  <w:tcBorders>
                    <w:tl2br w:val="nil"/>
                    <w:tr2bl w:val="nil"/>
                  </w:tcBorders>
                  <w:vAlign w:val="center"/>
                </w:tcPr>
                <w:p>
                  <w:pPr>
                    <w:pStyle w:val="8"/>
                    <w:spacing w:line="240" w:lineRule="auto"/>
                    <w:ind w:firstLine="0" w:firstLineChars="0"/>
                    <w:jc w:val="center"/>
                    <w:rPr>
                      <w:rFonts w:ascii="Times New Roman" w:hAnsi="Times New Roman" w:eastAsia="宋体" w:cs="Times New Roman"/>
                      <w:sz w:val="21"/>
                    </w:rPr>
                  </w:pPr>
                  <w:r>
                    <w:rPr>
                      <w:rFonts w:ascii="Times New Roman" w:hAnsi="Times New Roman" w:eastAsia="宋体" w:cs="Times New Roman"/>
                      <w:sz w:val="21"/>
                    </w:rPr>
                    <w:t>1.435539</w:t>
                  </w:r>
                </w:p>
              </w:tc>
            </w:tr>
          </w:tbl>
          <w:p>
            <w:pPr>
              <w:spacing w:line="360" w:lineRule="auto"/>
              <w:ind w:firstLine="482"/>
              <w:rPr>
                <w:rFonts w:ascii="Times New Roman" w:hAnsi="Times New Roman" w:cs="Times New Roman"/>
                <w:szCs w:val="24"/>
              </w:rPr>
            </w:pPr>
            <w:r>
              <w:rPr>
                <w:rFonts w:ascii="Times New Roman" w:hAnsi="Times New Roman" w:cs="Times New Roman"/>
                <w:szCs w:val="24"/>
              </w:rPr>
              <w:t>由此可见，在同样路面清洁程度条件下，车速越快，扬尘量越大；而在同样车速情况下，路面越脏，则扬尘量越大。施工工地内及施工场地的进出口路段，在风力作用下产生的扬尘；建筑材料如水泥、河砂等在运输和使用过程中产生的扬尘；施工土方堆放、装车过程所产生的扬尘。该部分以低空无组织排放为主，一般都掉落在施工现场。</w:t>
            </w:r>
          </w:p>
          <w:p>
            <w:pPr>
              <w:spacing w:line="360" w:lineRule="auto"/>
              <w:ind w:firstLine="482"/>
              <w:rPr>
                <w:rFonts w:ascii="Times New Roman" w:hAnsi="Times New Roman" w:cs="Times New Roman"/>
                <w:szCs w:val="24"/>
              </w:rPr>
            </w:pPr>
            <w:r>
              <w:rPr>
                <w:rFonts w:ascii="Times New Roman" w:hAnsi="Times New Roman" w:cs="Times New Roman"/>
                <w:szCs w:val="24"/>
              </w:rPr>
              <w:t>施工扬尘参考对大型土建工程现场的扬尘实地监测结果，TSP产生系数为0.01-0.05mg/m</w:t>
            </w:r>
            <w:r>
              <w:rPr>
                <w:rFonts w:ascii="Times New Roman" w:hAnsi="Times New Roman" w:cs="Times New Roman"/>
                <w:szCs w:val="24"/>
                <w:vertAlign w:val="superscript"/>
              </w:rPr>
              <w:t>2</w:t>
            </w:r>
            <w:r>
              <w:rPr>
                <w:rFonts w:ascii="Times New Roman" w:hAnsi="Times New Roman" w:cs="Times New Roman"/>
                <w:szCs w:val="24"/>
              </w:rPr>
              <w:t>.s，考虑本项目区域的土质特点，取0.04mg/m</w:t>
            </w:r>
            <w:r>
              <w:rPr>
                <w:rFonts w:ascii="Times New Roman" w:hAnsi="Times New Roman" w:cs="Times New Roman"/>
                <w:szCs w:val="24"/>
                <w:vertAlign w:val="superscript"/>
              </w:rPr>
              <w:t>2</w:t>
            </w:r>
            <w:r>
              <w:rPr>
                <w:rFonts w:ascii="Times New Roman" w:hAnsi="Times New Roman" w:cs="Times New Roman"/>
                <w:szCs w:val="24"/>
              </w:rPr>
              <w:t>.s，该项目新建面积约</w:t>
            </w:r>
            <w:r>
              <w:rPr>
                <w:rFonts w:hint="eastAsia" w:ascii="Times New Roman" w:hAnsi="Times New Roman" w:cs="Times New Roman"/>
              </w:rPr>
              <w:t>40136.16</w:t>
            </w:r>
            <w:r>
              <w:rPr>
                <w:rFonts w:ascii="Times New Roman" w:hAnsi="Times New Roman" w:cs="Times New Roman"/>
                <w:szCs w:val="24"/>
              </w:rPr>
              <w:t>m</w:t>
            </w:r>
            <w:r>
              <w:rPr>
                <w:rFonts w:ascii="Times New Roman" w:hAnsi="Times New Roman" w:cs="Times New Roman"/>
                <w:szCs w:val="24"/>
                <w:vertAlign w:val="superscript"/>
              </w:rPr>
              <w:t>2</w:t>
            </w:r>
            <w:r>
              <w:rPr>
                <w:rFonts w:ascii="Times New Roman" w:hAnsi="Times New Roman" w:cs="Times New Roman"/>
                <w:szCs w:val="24"/>
              </w:rPr>
              <w:t>，取施工现场的活跃面积比为10%，日工作8h，则该项目施工场地扬尘的产生量为</w:t>
            </w:r>
            <w:r>
              <w:rPr>
                <w:rFonts w:hint="eastAsia" w:ascii="Times New Roman" w:hAnsi="Times New Roman" w:cs="Times New Roman"/>
                <w:szCs w:val="24"/>
              </w:rPr>
              <w:t>4.624</w:t>
            </w:r>
            <w:r>
              <w:rPr>
                <w:rFonts w:ascii="Times New Roman" w:hAnsi="Times New Roman" w:cs="Times New Roman"/>
                <w:szCs w:val="24"/>
              </w:rPr>
              <w:t>kg/d（</w:t>
            </w:r>
            <w:r>
              <w:rPr>
                <w:rFonts w:hint="eastAsia" w:ascii="Times New Roman" w:hAnsi="Times New Roman" w:cs="Times New Roman"/>
                <w:szCs w:val="24"/>
              </w:rPr>
              <w:t>0.578</w:t>
            </w:r>
            <w:r>
              <w:rPr>
                <w:rFonts w:ascii="Times New Roman" w:hAnsi="Times New Roman" w:cs="Times New Roman"/>
                <w:szCs w:val="24"/>
              </w:rPr>
              <w:t>kg/h），施工期扬尘产生量约为0.832t。在采取围挡、晒水等措施后，预计可降低70%的扬尘，则排放量为</w:t>
            </w:r>
            <w:r>
              <w:rPr>
                <w:rFonts w:hint="eastAsia" w:ascii="Times New Roman" w:hAnsi="Times New Roman" w:cs="Times New Roman"/>
                <w:szCs w:val="24"/>
              </w:rPr>
              <w:t>1.3872</w:t>
            </w:r>
            <w:r>
              <w:rPr>
                <w:rFonts w:ascii="Times New Roman" w:hAnsi="Times New Roman" w:cs="Times New Roman"/>
                <w:szCs w:val="24"/>
              </w:rPr>
              <w:t>kg/d（</w:t>
            </w:r>
            <w:r>
              <w:rPr>
                <w:rFonts w:hint="eastAsia" w:ascii="Times New Roman" w:hAnsi="Times New Roman" w:cs="Times New Roman"/>
                <w:szCs w:val="24"/>
              </w:rPr>
              <w:t>0.1734</w:t>
            </w:r>
            <w:r>
              <w:rPr>
                <w:rFonts w:ascii="Times New Roman" w:hAnsi="Times New Roman" w:cs="Times New Roman"/>
                <w:szCs w:val="24"/>
              </w:rPr>
              <w:t>kg/h、0.25t/施工期）。</w:t>
            </w:r>
          </w:p>
          <w:p>
            <w:pPr>
              <w:spacing w:line="360" w:lineRule="auto"/>
              <w:ind w:firstLine="482"/>
              <w:rPr>
                <w:rFonts w:ascii="Times New Roman" w:hAnsi="Times New Roman" w:cs="Times New Roman"/>
                <w:szCs w:val="24"/>
              </w:rPr>
            </w:pPr>
            <w:r>
              <w:rPr>
                <w:rFonts w:hint="eastAsia" w:ascii="Times New Roman" w:hAnsi="Times New Roman" w:cs="Times New Roman"/>
                <w:szCs w:val="24"/>
              </w:rPr>
              <w:t>（2）汽车尾气</w:t>
            </w:r>
          </w:p>
          <w:p>
            <w:pPr>
              <w:spacing w:line="360" w:lineRule="auto"/>
              <w:ind w:firstLine="482"/>
              <w:rPr>
                <w:rFonts w:ascii="Times New Roman" w:hAnsi="Times New Roman" w:cs="Times New Roman"/>
                <w:szCs w:val="24"/>
              </w:rPr>
            </w:pPr>
            <w:r>
              <w:rPr>
                <w:rFonts w:ascii="Times New Roman" w:hAnsi="Times New Roman" w:cs="Times New Roman"/>
                <w:szCs w:val="24"/>
              </w:rPr>
              <w:t>机械车辆尾气主要污染物为CO、氮氧化物及THC。项目所在区域地形开阔，扩散较好，施工期机车尾气污染较小，且随施工的结束，该部分影响也将随之消失。</w:t>
            </w:r>
          </w:p>
          <w:p>
            <w:pPr>
              <w:spacing w:line="360" w:lineRule="auto"/>
              <w:ind w:firstLine="482"/>
              <w:rPr>
                <w:rFonts w:ascii="Times New Roman" w:hAnsi="Times New Roman" w:cs="Times New Roman"/>
                <w:szCs w:val="24"/>
              </w:rPr>
            </w:pPr>
            <w:r>
              <w:rPr>
                <w:rFonts w:ascii="Times New Roman" w:hAnsi="Times New Roman" w:cs="Times New Roman"/>
                <w:szCs w:val="24"/>
              </w:rPr>
              <w:t>项目施工过程所使用的工程机械主要以柴油为燃料，重型机械尾气排放量较大，故尾气排放可能使项目所在区域内的大气环境受到污染。运输车辆在施工场地内和运输沿线道路均会排放少量汽车尾气，尾气中主要污染物有CO、NO</w:t>
            </w:r>
            <w:r>
              <w:rPr>
                <w:rFonts w:ascii="Times New Roman" w:hAnsi="Times New Roman" w:cs="Times New Roman"/>
                <w:szCs w:val="24"/>
                <w:vertAlign w:val="subscript"/>
              </w:rPr>
              <w:t>2</w:t>
            </w:r>
            <w:r>
              <w:rPr>
                <w:rFonts w:ascii="Times New Roman" w:hAnsi="Times New Roman" w:cs="Times New Roman"/>
                <w:szCs w:val="24"/>
              </w:rPr>
              <w:t>、THC等</w:t>
            </w:r>
            <w:r>
              <w:rPr>
                <w:rFonts w:hint="eastAsia" w:ascii="Times New Roman" w:hAnsi="Times New Roman" w:cs="Times New Roman"/>
                <w:szCs w:val="24"/>
              </w:rPr>
              <w:t>，属无组织排放源</w:t>
            </w:r>
            <w:r>
              <w:rPr>
                <w:rFonts w:ascii="Times New Roman" w:hAnsi="Times New Roman" w:cs="Times New Roman"/>
                <w:szCs w:val="24"/>
              </w:rPr>
              <w:t>。</w:t>
            </w:r>
          </w:p>
          <w:p>
            <w:pPr>
              <w:pStyle w:val="32"/>
              <w:adjustRightInd/>
              <w:snapToGrid/>
              <w:ind w:firstLine="480" w:firstLineChars="0"/>
              <w:rPr>
                <w:rFonts w:ascii="Times New Roman" w:hAnsi="Times New Roman" w:cs="Times New Roman"/>
              </w:rPr>
            </w:pPr>
            <w:r>
              <w:rPr>
                <w:rFonts w:hint="eastAsia" w:ascii="Times New Roman" w:hAnsi="Times New Roman" w:cs="Times New Roman"/>
              </w:rPr>
              <w:t>（3）装修废气</w:t>
            </w:r>
          </w:p>
          <w:p>
            <w:pPr>
              <w:pStyle w:val="32"/>
              <w:adjustRightInd/>
              <w:snapToGrid/>
              <w:ind w:firstLine="480" w:firstLineChars="0"/>
              <w:rPr>
                <w:rFonts w:ascii="Times New Roman" w:hAnsi="Times New Roman" w:cs="Times New Roman"/>
              </w:rPr>
            </w:pPr>
            <w:r>
              <w:rPr>
                <w:rFonts w:ascii="Times New Roman" w:hAnsi="Times New Roman" w:cs="Times New Roman"/>
              </w:rPr>
              <w:t>在主体建筑施工完成后，将对建筑进行装修、设备安装等，在装修过程中使用一定量的油漆等物质，因此将产生一定量</w:t>
            </w:r>
            <w:r>
              <w:rPr>
                <w:rFonts w:hint="eastAsia" w:ascii="Times New Roman" w:hAnsi="Times New Roman" w:cs="Times New Roman"/>
              </w:rPr>
              <w:t>有机废气，呈无组织排放</w:t>
            </w:r>
            <w:r>
              <w:rPr>
                <w:rFonts w:ascii="Times New Roman" w:hAnsi="Times New Roman" w:cs="Times New Roman"/>
              </w:rPr>
              <w:t>。</w:t>
            </w:r>
          </w:p>
          <w:p>
            <w:pPr>
              <w:spacing w:line="360" w:lineRule="auto"/>
              <w:ind w:firstLine="480" w:firstLineChars="200"/>
              <w:jc w:val="left"/>
              <w:rPr>
                <w:rFonts w:ascii="Times New Roman" w:hAnsi="Times New Roman" w:cs="Times New Roman"/>
                <w:b/>
                <w:bCs/>
                <w:szCs w:val="24"/>
              </w:rPr>
            </w:pPr>
            <w:r>
              <w:rPr>
                <w:rFonts w:hint="eastAsia" w:ascii="Times New Roman" w:hAnsi="Times New Roman" w:cs="Times New Roman"/>
                <w:szCs w:val="24"/>
              </w:rPr>
              <w:t>2.1.2</w:t>
            </w:r>
            <w:r>
              <w:rPr>
                <w:rFonts w:ascii="Times New Roman" w:hAnsi="Times New Roman" w:cs="Times New Roman"/>
                <w:szCs w:val="24"/>
              </w:rPr>
              <w:t>废水</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项目施工期间产生的污水主要包括施工人员的施工废水、生活污水。</w:t>
            </w:r>
          </w:p>
          <w:p>
            <w:pPr>
              <w:spacing w:line="360" w:lineRule="auto"/>
              <w:ind w:firstLine="480" w:firstLineChars="200"/>
              <w:jc w:val="left"/>
              <w:rPr>
                <w:rFonts w:ascii="Times New Roman" w:hAnsi="Times New Roman" w:cs="Times New Roman"/>
                <w:szCs w:val="24"/>
              </w:rPr>
            </w:pPr>
            <w:r>
              <w:rPr>
                <w:rFonts w:hint="eastAsia" w:ascii="Times New Roman" w:hAnsi="Times New Roman" w:cs="Times New Roman"/>
                <w:szCs w:val="24"/>
              </w:rPr>
              <w:t>（1）</w:t>
            </w:r>
            <w:r>
              <w:rPr>
                <w:rFonts w:ascii="Times New Roman" w:hAnsi="Times New Roman" w:cs="Times New Roman"/>
                <w:szCs w:val="24"/>
              </w:rPr>
              <w:t>施工废水</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该废水包括施工机械洗涤水、施工现场清洗、建筑清洗、混凝土浇筑等，该废水污染物为SS、石油类，SS浓度较大，但不含其它可溶性有害物质。类比同类项目，施工废水产生量约100m</w:t>
            </w:r>
            <w:r>
              <w:rPr>
                <w:rFonts w:ascii="Times New Roman" w:hAnsi="Times New Roman" w:cs="Times New Roman"/>
                <w:szCs w:val="24"/>
                <w:vertAlign w:val="superscript"/>
              </w:rPr>
              <w:t>3</w:t>
            </w:r>
            <w:r>
              <w:rPr>
                <w:rFonts w:hint="eastAsia" w:ascii="Times New Roman" w:hAnsi="Times New Roman" w:cs="Times New Roman"/>
                <w:szCs w:val="24"/>
              </w:rPr>
              <w:t>/</w:t>
            </w:r>
            <w:r>
              <w:rPr>
                <w:rFonts w:ascii="Times New Roman" w:hAnsi="Times New Roman" w:cs="Times New Roman"/>
                <w:szCs w:val="24"/>
              </w:rPr>
              <w:t>d，污染物浓度SS为600mg/L、石油类10mg/L。</w:t>
            </w:r>
          </w:p>
          <w:p>
            <w:pPr>
              <w:spacing w:line="360" w:lineRule="auto"/>
              <w:ind w:firstLine="480" w:firstLineChars="200"/>
              <w:jc w:val="left"/>
              <w:rPr>
                <w:rFonts w:ascii="Times New Roman" w:hAnsi="Times New Roman" w:cs="Times New Roman"/>
                <w:szCs w:val="24"/>
              </w:rPr>
            </w:pPr>
            <w:r>
              <w:rPr>
                <w:rFonts w:ascii="Times New Roman" w:hAnsi="Times New Roman" w:cs="Times New Roman"/>
                <w:szCs w:val="24"/>
              </w:rPr>
              <w:t>处置措施：</w:t>
            </w:r>
            <w:r>
              <w:rPr>
                <w:rFonts w:ascii="Times New Roman" w:hAnsi="Times New Roman"/>
                <w:color w:val="0C0C0C"/>
              </w:rPr>
              <w:t>施工期间在场地低洼区设置简易</w:t>
            </w:r>
            <w:r>
              <w:rPr>
                <w:rFonts w:hint="eastAsia" w:ascii="Times New Roman" w:hAnsi="Times New Roman"/>
                <w:color w:val="0C0C0C"/>
              </w:rPr>
              <w:t>隔油</w:t>
            </w:r>
            <w:r>
              <w:rPr>
                <w:rFonts w:ascii="Times New Roman" w:hAnsi="Times New Roman"/>
                <w:color w:val="0C0C0C"/>
              </w:rPr>
              <w:t>沉淀池，沉淀池大小、处置规模应与废水产生量相适应</w:t>
            </w:r>
            <w:r>
              <w:rPr>
                <w:rFonts w:ascii="Times New Roman" w:hAnsi="Times New Roman" w:cs="Times New Roman"/>
                <w:szCs w:val="24"/>
              </w:rPr>
              <w:t>，施工机械、运输车辆冲洗废水排入隔油池；废水经隔油、沉淀处理后清水回用，用于施工机械、运输车辆冲洗及场地抑尘、降尘喷洒用水，全部回用不外排。沉沙池产生的废浆和淤泥干化后拟运周边低洼地块回填。</w:t>
            </w:r>
          </w:p>
          <w:p>
            <w:pPr>
              <w:spacing w:line="360" w:lineRule="auto"/>
              <w:ind w:firstLine="480" w:firstLineChars="200"/>
              <w:jc w:val="left"/>
              <w:rPr>
                <w:rFonts w:ascii="Times New Roman" w:hAnsi="Times New Roman" w:cs="Times New Roman"/>
                <w:szCs w:val="24"/>
              </w:rPr>
            </w:pPr>
            <w:r>
              <w:rPr>
                <w:rFonts w:hint="eastAsia" w:ascii="Times New Roman" w:hAnsi="Times New Roman" w:cs="Times New Roman"/>
                <w:szCs w:val="24"/>
              </w:rPr>
              <w:t>（2）</w:t>
            </w:r>
            <w:r>
              <w:rPr>
                <w:rFonts w:ascii="Times New Roman" w:hAnsi="Times New Roman" w:cs="Times New Roman"/>
                <w:szCs w:val="24"/>
              </w:rPr>
              <w:t>生活污水</w:t>
            </w:r>
          </w:p>
          <w:p>
            <w:pPr>
              <w:spacing w:line="360" w:lineRule="auto"/>
              <w:ind w:firstLine="480" w:firstLineChars="200"/>
              <w:rPr>
                <w:rFonts w:ascii="Times New Roman" w:hAnsi="Times New Roman" w:cs="Times New Roman"/>
                <w:szCs w:val="24"/>
              </w:rPr>
            </w:pPr>
            <w:r>
              <w:rPr>
                <w:rFonts w:ascii="Times New Roman" w:hAnsi="Times New Roman" w:cs="Times New Roman"/>
                <w:szCs w:val="24"/>
                <w:u w:val="single"/>
              </w:rPr>
              <w:t>施工期平均施工人数为</w:t>
            </w:r>
            <w:r>
              <w:rPr>
                <w:rFonts w:hint="eastAsia" w:ascii="Times New Roman" w:hAnsi="Times New Roman" w:cs="Times New Roman"/>
                <w:szCs w:val="24"/>
                <w:u w:val="single"/>
              </w:rPr>
              <w:t>3</w:t>
            </w:r>
            <w:r>
              <w:rPr>
                <w:rFonts w:ascii="Times New Roman" w:hAnsi="Times New Roman" w:cs="Times New Roman"/>
                <w:szCs w:val="24"/>
                <w:u w:val="single"/>
              </w:rPr>
              <w:t>50人，根据《湖南省用水定额地方标准》，生活用水量按</w:t>
            </w:r>
            <w:r>
              <w:rPr>
                <w:rFonts w:ascii="Times New Roman" w:hAnsi="Times New Roman" w:eastAsia="Times-Roman" w:cs="Times New Roman"/>
                <w:szCs w:val="24"/>
                <w:u w:val="single"/>
              </w:rPr>
              <w:t>100L/</w:t>
            </w:r>
            <w:r>
              <w:rPr>
                <w:rFonts w:ascii="Times New Roman" w:hAnsi="Times New Roman" w:cs="Times New Roman"/>
                <w:szCs w:val="24"/>
                <w:u w:val="single"/>
              </w:rPr>
              <w:t>人·日计，施工时间</w:t>
            </w:r>
            <w:r>
              <w:rPr>
                <w:rFonts w:hint="eastAsia" w:ascii="Times New Roman" w:hAnsi="Times New Roman" w:cs="Times New Roman"/>
                <w:szCs w:val="24"/>
                <w:u w:val="single"/>
              </w:rPr>
              <w:t>6</w:t>
            </w:r>
            <w:r>
              <w:rPr>
                <w:rFonts w:ascii="Times New Roman" w:hAnsi="Times New Roman" w:cs="Times New Roman"/>
                <w:szCs w:val="24"/>
                <w:u w:val="single"/>
              </w:rPr>
              <w:t>个月（180天）</w:t>
            </w:r>
            <w:r>
              <w:rPr>
                <w:rFonts w:ascii="Times New Roman" w:hAnsi="Times New Roman" w:cs="Times New Roman"/>
                <w:szCs w:val="24"/>
              </w:rPr>
              <w:t>，则施工期生活用水量为6300m</w:t>
            </w:r>
            <w:r>
              <w:rPr>
                <w:rFonts w:ascii="Times New Roman" w:hAnsi="Times New Roman" w:cs="Times New Roman"/>
                <w:szCs w:val="24"/>
                <w:vertAlign w:val="superscript"/>
              </w:rPr>
              <w:t>3</w:t>
            </w:r>
            <w:r>
              <w:rPr>
                <w:rFonts w:ascii="Times New Roman" w:hAnsi="Times New Roman" w:cs="Times New Roman"/>
                <w:szCs w:val="24"/>
              </w:rPr>
              <w:t>，污水产生量按日用水量</w:t>
            </w:r>
            <w:r>
              <w:rPr>
                <w:rFonts w:hint="eastAsia" w:ascii="Times New Roman" w:hAnsi="Times New Roman" w:cs="Times New Roman"/>
                <w:szCs w:val="24"/>
              </w:rPr>
              <w:t>的</w:t>
            </w:r>
            <w:r>
              <w:rPr>
                <w:rFonts w:ascii="Times New Roman" w:hAnsi="Times New Roman" w:eastAsia="Times-Roman" w:cs="Times New Roman"/>
                <w:szCs w:val="24"/>
              </w:rPr>
              <w:t>80%</w:t>
            </w:r>
            <w:r>
              <w:rPr>
                <w:rFonts w:ascii="Times New Roman" w:hAnsi="Times New Roman" w:cs="Times New Roman"/>
                <w:szCs w:val="24"/>
              </w:rPr>
              <w:t>计，则施工期生活污水排放量为5040m</w:t>
            </w:r>
            <w:r>
              <w:rPr>
                <w:rFonts w:ascii="Times New Roman" w:hAnsi="Times New Roman" w:cs="Times New Roman"/>
                <w:szCs w:val="24"/>
                <w:vertAlign w:val="superscript"/>
              </w:rPr>
              <w:t>3</w:t>
            </w:r>
            <w:r>
              <w:rPr>
                <w:rFonts w:hint="eastAsia" w:ascii="Times New Roman" w:hAnsi="Times New Roman" w:cs="Times New Roman"/>
                <w:szCs w:val="24"/>
              </w:rPr>
              <w:t>（2</w:t>
            </w:r>
            <w:r>
              <w:rPr>
                <w:rFonts w:ascii="Times New Roman" w:hAnsi="Times New Roman" w:cs="Times New Roman"/>
                <w:szCs w:val="24"/>
              </w:rPr>
              <w:t>8m</w:t>
            </w:r>
            <w:r>
              <w:rPr>
                <w:rFonts w:ascii="Times New Roman" w:hAnsi="Times New Roman" w:cs="Times New Roman"/>
                <w:szCs w:val="24"/>
                <w:vertAlign w:val="superscript"/>
              </w:rPr>
              <w:t>3</w:t>
            </w:r>
            <w:r>
              <w:rPr>
                <w:rFonts w:ascii="Times New Roman" w:hAnsi="Times New Roman" w:cs="Times New Roman"/>
                <w:szCs w:val="24"/>
              </w:rPr>
              <w:t>/d</w:t>
            </w:r>
            <w:r>
              <w:rPr>
                <w:rFonts w:hint="eastAsia" w:ascii="Times New Roman" w:hAnsi="Times New Roman" w:cs="Times New Roman"/>
                <w:szCs w:val="24"/>
              </w:rPr>
              <w:t>）</w:t>
            </w:r>
            <w:r>
              <w:rPr>
                <w:rFonts w:ascii="Times New Roman" w:hAnsi="Times New Roman" w:cs="Times New Roman"/>
                <w:szCs w:val="24"/>
              </w:rPr>
              <w:t>，污染排放浓度为COD400mg/L、BOD</w:t>
            </w:r>
            <w:r>
              <w:rPr>
                <w:rFonts w:ascii="Times New Roman" w:hAnsi="Times New Roman" w:cs="Times New Roman"/>
                <w:szCs w:val="24"/>
                <w:vertAlign w:val="subscript"/>
              </w:rPr>
              <w:t>5</w:t>
            </w:r>
            <w:r>
              <w:rPr>
                <w:rFonts w:ascii="Times New Roman" w:hAnsi="Times New Roman" w:cs="Times New Roman"/>
                <w:szCs w:val="24"/>
              </w:rPr>
              <w:t>200mg/L、SS250mg/L、氨氮35mg/L。</w:t>
            </w:r>
          </w:p>
          <w:p>
            <w:pPr>
              <w:spacing w:line="360" w:lineRule="auto"/>
              <w:ind w:firstLine="480" w:firstLineChars="200"/>
              <w:rPr>
                <w:rFonts w:ascii="Times New Roman" w:hAnsi="Times New Roman" w:cs="Times New Roman"/>
                <w:szCs w:val="24"/>
              </w:rPr>
            </w:pPr>
            <w:r>
              <w:rPr>
                <w:rFonts w:ascii="Times New Roman" w:hAnsi="Times New Roman" w:cs="Times New Roman"/>
                <w:szCs w:val="24"/>
              </w:rPr>
              <w:t>项目施工期生活设施依托建设的临时措施，产生的生活污水经</w:t>
            </w:r>
            <w:r>
              <w:rPr>
                <w:rFonts w:hint="eastAsia" w:ascii="Times New Roman" w:hAnsi="Times New Roman" w:cs="Times New Roman"/>
                <w:szCs w:val="24"/>
              </w:rPr>
              <w:t>临时</w:t>
            </w:r>
            <w:r>
              <w:rPr>
                <w:rFonts w:ascii="Times New Roman" w:hAnsi="Times New Roman" w:cs="Times New Roman"/>
                <w:szCs w:val="24"/>
              </w:rPr>
              <w:t>化粪池</w:t>
            </w:r>
            <w:r>
              <w:rPr>
                <w:rFonts w:hint="eastAsia" w:ascii="Times New Roman" w:hAnsi="Times New Roman" w:cs="Times New Roman"/>
                <w:szCs w:val="24"/>
              </w:rPr>
              <w:t>收集处理后</w:t>
            </w:r>
            <w:r>
              <w:rPr>
                <w:rFonts w:ascii="Times New Roman" w:hAnsi="Times New Roman" w:cs="Times New Roman"/>
                <w:szCs w:val="24"/>
              </w:rPr>
              <w:t>，</w:t>
            </w:r>
            <w:r>
              <w:rPr>
                <w:rFonts w:hint="eastAsia" w:ascii="Times New Roman" w:hAnsi="Times New Roman" w:cs="Times New Roman"/>
                <w:szCs w:val="24"/>
              </w:rPr>
              <w:t>由市政单位外运处理</w:t>
            </w:r>
            <w:r>
              <w:rPr>
                <w:rFonts w:ascii="Times New Roman" w:hAnsi="Times New Roman" w:cs="Times New Roman"/>
                <w:szCs w:val="24"/>
              </w:rPr>
              <w:t>，施工期间排放的污水水质及污染物产生见表5-5。</w:t>
            </w:r>
          </w:p>
          <w:p>
            <w:pPr>
              <w:spacing w:line="360" w:lineRule="auto"/>
              <w:jc w:val="center"/>
              <w:rPr>
                <w:rFonts w:ascii="Times New Roman" w:hAnsi="Times New Roman" w:cs="Times New Roman"/>
                <w:b/>
                <w:bCs/>
              </w:rPr>
            </w:pPr>
            <w:r>
              <w:rPr>
                <w:rFonts w:ascii="Times New Roman" w:hAnsi="Times New Roman" w:cs="Times New Roman"/>
                <w:b/>
                <w:bCs/>
              </w:rPr>
              <w:t>表5-5  施工期间排放的污水水质及污染物产生量一览表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236"/>
              <w:gridCol w:w="1186"/>
              <w:gridCol w:w="1188"/>
              <w:gridCol w:w="1206"/>
              <w:gridCol w:w="1191"/>
              <w:gridCol w:w="119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eastAsia="宋体" w:cs="Times New Roman"/>
                      <w:b/>
                      <w:bCs/>
                      <w:sz w:val="21"/>
                      <w:szCs w:val="21"/>
                    </w:rPr>
                  </w:pPr>
                  <w:bookmarkStart w:id="41" w:name="_Toc34059513"/>
                  <w:r>
                    <w:rPr>
                      <w:rFonts w:ascii="Times New Roman" w:hAnsi="Times New Roman" w:cs="Times New Roman"/>
                      <w:b/>
                      <w:bCs/>
                      <w:sz w:val="21"/>
                      <w:szCs w:val="21"/>
                    </w:rPr>
                    <w:t>类别</w:t>
                  </w:r>
                  <w:bookmarkEnd w:id="41"/>
                </w:p>
              </w:tc>
              <w:tc>
                <w:tcPr>
                  <w:tcW w:w="1326"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2" w:name="_Toc34059514"/>
                  <w:r>
                    <w:rPr>
                      <w:rFonts w:ascii="Times New Roman" w:hAnsi="Times New Roman" w:cs="Times New Roman"/>
                      <w:b/>
                      <w:bCs/>
                      <w:sz w:val="21"/>
                      <w:szCs w:val="21"/>
                    </w:rPr>
                    <w:t>废水量</w:t>
                  </w:r>
                  <w:bookmarkEnd w:id="42"/>
                </w:p>
              </w:tc>
              <w:tc>
                <w:tcPr>
                  <w:tcW w:w="1313"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3" w:name="_Toc34059515"/>
                  <w:r>
                    <w:rPr>
                      <w:rFonts w:ascii="Times New Roman" w:hAnsi="Times New Roman" w:cs="Times New Roman"/>
                      <w:b/>
                      <w:bCs/>
                      <w:sz w:val="21"/>
                      <w:szCs w:val="21"/>
                    </w:rPr>
                    <w:t>单位</w:t>
                  </w:r>
                  <w:bookmarkEnd w:id="43"/>
                </w:p>
              </w:tc>
              <w:tc>
                <w:tcPr>
                  <w:tcW w:w="1311"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4" w:name="_Toc34059516"/>
                  <w:r>
                    <w:rPr>
                      <w:rFonts w:ascii="Times New Roman" w:hAnsi="Times New Roman" w:cs="Times New Roman"/>
                      <w:b/>
                      <w:bCs/>
                      <w:sz w:val="21"/>
                      <w:szCs w:val="21"/>
                    </w:rPr>
                    <w:t>COD</w:t>
                  </w:r>
                  <w:bookmarkEnd w:id="44"/>
                </w:p>
              </w:tc>
              <w:tc>
                <w:tcPr>
                  <w:tcW w:w="1321"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5" w:name="_Toc34059517"/>
                  <w:r>
                    <w:rPr>
                      <w:rFonts w:ascii="Times New Roman" w:hAnsi="Times New Roman" w:cs="Times New Roman"/>
                      <w:b/>
                      <w:bCs/>
                      <w:sz w:val="21"/>
                      <w:szCs w:val="21"/>
                    </w:rPr>
                    <w:t>BOD</w:t>
                  </w:r>
                  <w:r>
                    <w:rPr>
                      <w:rFonts w:ascii="Times New Roman" w:hAnsi="Times New Roman" w:cs="Times New Roman"/>
                      <w:b/>
                      <w:bCs/>
                      <w:sz w:val="21"/>
                      <w:szCs w:val="21"/>
                      <w:vertAlign w:val="subscript"/>
                    </w:rPr>
                    <w:t>5</w:t>
                  </w:r>
                  <w:bookmarkEnd w:id="45"/>
                </w:p>
              </w:tc>
              <w:tc>
                <w:tcPr>
                  <w:tcW w:w="1315"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6" w:name="_Toc34059518"/>
                  <w:r>
                    <w:rPr>
                      <w:rFonts w:ascii="Times New Roman" w:hAnsi="Times New Roman" w:cs="Times New Roman"/>
                      <w:b/>
                      <w:bCs/>
                      <w:sz w:val="21"/>
                      <w:szCs w:val="21"/>
                    </w:rPr>
                    <w:t>SS</w:t>
                  </w:r>
                  <w:bookmarkEnd w:id="46"/>
                </w:p>
              </w:tc>
              <w:tc>
                <w:tcPr>
                  <w:tcW w:w="1315" w:type="dxa"/>
                  <w:tcBorders>
                    <w:bottom w:val="single" w:color="auto" w:sz="12" w:space="0"/>
                  </w:tcBorders>
                  <w:vAlign w:val="center"/>
                </w:tcPr>
                <w:p>
                  <w:pPr>
                    <w:pStyle w:val="32"/>
                    <w:adjustRightInd/>
                    <w:snapToGrid/>
                    <w:spacing w:line="240" w:lineRule="auto"/>
                    <w:ind w:firstLine="0" w:firstLineChars="0"/>
                    <w:jc w:val="center"/>
                    <w:outlineLvl w:val="0"/>
                    <w:rPr>
                      <w:rFonts w:ascii="Times New Roman" w:hAnsi="Times New Roman" w:cs="Times New Roman"/>
                      <w:b/>
                      <w:bCs/>
                      <w:sz w:val="21"/>
                      <w:szCs w:val="21"/>
                    </w:rPr>
                  </w:pPr>
                  <w:bookmarkStart w:id="47" w:name="_Toc34059519"/>
                  <w:r>
                    <w:rPr>
                      <w:rFonts w:ascii="Times New Roman" w:hAnsi="Times New Roman" w:cs="Times New Roman"/>
                      <w:b/>
                      <w:bCs/>
                      <w:sz w:val="21"/>
                      <w:szCs w:val="21"/>
                    </w:rPr>
                    <w:t>氨氮</w:t>
                  </w:r>
                  <w:bookmarkEnd w:id="47"/>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vMerge w:val="restart"/>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48" w:name="_Toc34059520"/>
                  <w:r>
                    <w:rPr>
                      <w:rFonts w:ascii="Times New Roman" w:hAnsi="Times New Roman" w:cs="Times New Roman"/>
                      <w:sz w:val="21"/>
                      <w:szCs w:val="21"/>
                    </w:rPr>
                    <w:t>产生量</w:t>
                  </w:r>
                  <w:bookmarkEnd w:id="48"/>
                </w:p>
              </w:tc>
              <w:tc>
                <w:tcPr>
                  <w:tcW w:w="1326" w:type="dxa"/>
                  <w:vMerge w:val="restart"/>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49" w:name="_Toc34059521"/>
                  <w:r>
                    <w:rPr>
                      <w:rFonts w:ascii="Times New Roman" w:hAnsi="Times New Roman" w:cs="Times New Roman"/>
                      <w:sz w:val="21"/>
                      <w:szCs w:val="21"/>
                    </w:rPr>
                    <w:t>6300m</w:t>
                  </w:r>
                  <w:r>
                    <w:rPr>
                      <w:rFonts w:ascii="Times New Roman" w:hAnsi="Times New Roman" w:cs="Times New Roman"/>
                      <w:sz w:val="21"/>
                      <w:szCs w:val="21"/>
                      <w:vertAlign w:val="superscript"/>
                    </w:rPr>
                    <w:t>3</w:t>
                  </w:r>
                  <w:bookmarkEnd w:id="49"/>
                </w:p>
              </w:tc>
              <w:tc>
                <w:tcPr>
                  <w:tcW w:w="1313" w:type="dxa"/>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0" w:name="_Toc34059522"/>
                  <w:r>
                    <w:rPr>
                      <w:rFonts w:ascii="Times New Roman" w:hAnsi="Times New Roman" w:cs="Times New Roman"/>
                      <w:sz w:val="21"/>
                      <w:szCs w:val="21"/>
                    </w:rPr>
                    <w:t>mg/L</w:t>
                  </w:r>
                  <w:bookmarkEnd w:id="50"/>
                </w:p>
              </w:tc>
              <w:tc>
                <w:tcPr>
                  <w:tcW w:w="1311" w:type="dxa"/>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1" w:name="_Toc34059523"/>
                  <w:r>
                    <w:rPr>
                      <w:rFonts w:ascii="Times New Roman" w:hAnsi="Times New Roman" w:cs="Times New Roman"/>
                      <w:sz w:val="21"/>
                      <w:szCs w:val="21"/>
                    </w:rPr>
                    <w:t>400</w:t>
                  </w:r>
                  <w:bookmarkEnd w:id="51"/>
                </w:p>
              </w:tc>
              <w:tc>
                <w:tcPr>
                  <w:tcW w:w="1321" w:type="dxa"/>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2" w:name="_Toc34059524"/>
                  <w:r>
                    <w:rPr>
                      <w:rFonts w:ascii="Times New Roman" w:hAnsi="Times New Roman" w:cs="Times New Roman"/>
                      <w:sz w:val="21"/>
                      <w:szCs w:val="21"/>
                    </w:rPr>
                    <w:t>200</w:t>
                  </w:r>
                  <w:bookmarkEnd w:id="52"/>
                </w:p>
              </w:tc>
              <w:tc>
                <w:tcPr>
                  <w:tcW w:w="1315" w:type="dxa"/>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3" w:name="_Toc34059525"/>
                  <w:r>
                    <w:rPr>
                      <w:rFonts w:ascii="Times New Roman" w:hAnsi="Times New Roman" w:cs="Times New Roman"/>
                      <w:sz w:val="21"/>
                      <w:szCs w:val="21"/>
                    </w:rPr>
                    <w:t>250</w:t>
                  </w:r>
                  <w:bookmarkEnd w:id="53"/>
                </w:p>
              </w:tc>
              <w:tc>
                <w:tcPr>
                  <w:tcW w:w="1315" w:type="dxa"/>
                  <w:tcBorders>
                    <w:top w:val="single" w:color="auto" w:sz="12" w:space="0"/>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4" w:name="_Toc34059526"/>
                  <w:r>
                    <w:rPr>
                      <w:rFonts w:ascii="Times New Roman" w:hAnsi="Times New Roman" w:cs="Times New Roman"/>
                      <w:sz w:val="21"/>
                      <w:szCs w:val="21"/>
                    </w:rPr>
                    <w:t>35</w:t>
                  </w:r>
                  <w:bookmarkEnd w:id="54"/>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vMerge w:val="continue"/>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p>
              </w:tc>
              <w:tc>
                <w:tcPr>
                  <w:tcW w:w="1326" w:type="dxa"/>
                  <w:vMerge w:val="continue"/>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p>
              </w:tc>
              <w:tc>
                <w:tcPr>
                  <w:tcW w:w="1313" w:type="dxa"/>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eastAsia="宋体" w:cs="Times New Roman"/>
                      <w:sz w:val="21"/>
                      <w:szCs w:val="21"/>
                    </w:rPr>
                  </w:pPr>
                  <w:bookmarkStart w:id="55" w:name="_Toc34059527"/>
                  <w:r>
                    <w:rPr>
                      <w:rFonts w:ascii="Times New Roman" w:hAnsi="Times New Roman" w:cs="Times New Roman"/>
                      <w:sz w:val="21"/>
                      <w:szCs w:val="21"/>
                    </w:rPr>
                    <w:t>t</w:t>
                  </w:r>
                  <w:bookmarkEnd w:id="55"/>
                </w:p>
              </w:tc>
              <w:tc>
                <w:tcPr>
                  <w:tcW w:w="1311"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2.52</w:t>
                  </w:r>
                </w:p>
              </w:tc>
              <w:tc>
                <w:tcPr>
                  <w:tcW w:w="1321" w:type="dxa"/>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.26</w:t>
                  </w:r>
                </w:p>
              </w:tc>
              <w:tc>
                <w:tcPr>
                  <w:tcW w:w="1315"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1.575</w:t>
                  </w:r>
                </w:p>
              </w:tc>
              <w:tc>
                <w:tcPr>
                  <w:tcW w:w="1315"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0.221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vMerge w:val="restart"/>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6" w:name="_Toc34059528"/>
                  <w:r>
                    <w:rPr>
                      <w:rFonts w:ascii="Times New Roman" w:hAnsi="Times New Roman" w:cs="Times New Roman"/>
                      <w:sz w:val="21"/>
                      <w:szCs w:val="21"/>
                    </w:rPr>
                    <w:t>排放量</w:t>
                  </w:r>
                  <w:bookmarkEnd w:id="56"/>
                </w:p>
              </w:tc>
              <w:tc>
                <w:tcPr>
                  <w:tcW w:w="1326" w:type="dxa"/>
                  <w:vMerge w:val="restart"/>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7" w:name="_Toc34059529"/>
                  <w:r>
                    <w:rPr>
                      <w:rFonts w:ascii="Times New Roman" w:hAnsi="Times New Roman" w:cs="Times New Roman"/>
                      <w:sz w:val="21"/>
                      <w:szCs w:val="21"/>
                    </w:rPr>
                    <w:t>5040m</w:t>
                  </w:r>
                  <w:r>
                    <w:rPr>
                      <w:rFonts w:ascii="Times New Roman" w:hAnsi="Times New Roman" w:cs="Times New Roman"/>
                      <w:sz w:val="21"/>
                      <w:szCs w:val="21"/>
                      <w:vertAlign w:val="superscript"/>
                    </w:rPr>
                    <w:t>3</w:t>
                  </w:r>
                  <w:bookmarkEnd w:id="57"/>
                </w:p>
              </w:tc>
              <w:tc>
                <w:tcPr>
                  <w:tcW w:w="1313" w:type="dxa"/>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bookmarkStart w:id="58" w:name="_Toc34059530"/>
                  <w:r>
                    <w:rPr>
                      <w:rFonts w:ascii="Times New Roman" w:hAnsi="Times New Roman" w:cs="Times New Roman"/>
                      <w:sz w:val="21"/>
                      <w:szCs w:val="21"/>
                    </w:rPr>
                    <w:t>mg/L</w:t>
                  </w:r>
                  <w:bookmarkEnd w:id="58"/>
                </w:p>
              </w:tc>
              <w:tc>
                <w:tcPr>
                  <w:tcW w:w="1311"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60</w:t>
                  </w:r>
                </w:p>
              </w:tc>
              <w:tc>
                <w:tcPr>
                  <w:tcW w:w="1321" w:type="dxa"/>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20</w:t>
                  </w:r>
                </w:p>
              </w:tc>
              <w:tc>
                <w:tcPr>
                  <w:tcW w:w="1315" w:type="dxa"/>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20</w:t>
                  </w:r>
                </w:p>
              </w:tc>
              <w:tc>
                <w:tcPr>
                  <w:tcW w:w="1315"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5" w:type="dxa"/>
                  <w:vMerge w:val="continue"/>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p>
              </w:tc>
              <w:tc>
                <w:tcPr>
                  <w:tcW w:w="1326" w:type="dxa"/>
                  <w:vMerge w:val="continue"/>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cs="Times New Roman"/>
                      <w:sz w:val="21"/>
                      <w:szCs w:val="21"/>
                    </w:rPr>
                  </w:pPr>
                </w:p>
              </w:tc>
              <w:tc>
                <w:tcPr>
                  <w:tcW w:w="1313" w:type="dxa"/>
                  <w:tcBorders>
                    <w:tl2br w:val="nil"/>
                    <w:tr2bl w:val="nil"/>
                  </w:tcBorders>
                  <w:vAlign w:val="center"/>
                </w:tcPr>
                <w:p>
                  <w:pPr>
                    <w:pStyle w:val="32"/>
                    <w:adjustRightInd/>
                    <w:snapToGrid/>
                    <w:spacing w:line="240" w:lineRule="auto"/>
                    <w:ind w:firstLine="0" w:firstLineChars="0"/>
                    <w:jc w:val="center"/>
                    <w:outlineLvl w:val="0"/>
                    <w:rPr>
                      <w:rFonts w:ascii="Times New Roman" w:hAnsi="Times New Roman" w:eastAsia="宋体" w:cs="Times New Roman"/>
                      <w:sz w:val="21"/>
                      <w:szCs w:val="21"/>
                    </w:rPr>
                  </w:pPr>
                  <w:bookmarkStart w:id="59" w:name="_Toc34059531"/>
                  <w:r>
                    <w:rPr>
                      <w:rFonts w:ascii="Times New Roman" w:hAnsi="Times New Roman" w:cs="Times New Roman"/>
                      <w:sz w:val="21"/>
                      <w:szCs w:val="21"/>
                    </w:rPr>
                    <w:t>t</w:t>
                  </w:r>
                  <w:bookmarkEnd w:id="59"/>
                </w:p>
              </w:tc>
              <w:tc>
                <w:tcPr>
                  <w:tcW w:w="1311"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0.302</w:t>
                  </w:r>
                </w:p>
              </w:tc>
              <w:tc>
                <w:tcPr>
                  <w:tcW w:w="1321"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0.1</w:t>
                  </w:r>
                </w:p>
              </w:tc>
              <w:tc>
                <w:tcPr>
                  <w:tcW w:w="1315"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0.1</w:t>
                  </w:r>
                </w:p>
              </w:tc>
              <w:tc>
                <w:tcPr>
                  <w:tcW w:w="1315" w:type="dxa"/>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0.04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76" w:type="dxa"/>
                  <w:gridSpan w:val="7"/>
                  <w:tcBorders>
                    <w:tl2br w:val="nil"/>
                    <w:tr2bl w:val="nil"/>
                  </w:tcBorders>
                  <w:vAlign w:val="center"/>
                </w:tcPr>
                <w:p>
                  <w:pPr>
                    <w:pStyle w:val="32"/>
                    <w:adjustRightInd/>
                    <w:snapToGrid/>
                    <w:spacing w:line="240" w:lineRule="auto"/>
                    <w:ind w:firstLine="0" w:firstLineChars="0"/>
                    <w:outlineLvl w:val="0"/>
                    <w:rPr>
                      <w:rFonts w:ascii="Times New Roman" w:hAnsi="Times New Roman" w:cs="Times New Roman"/>
                      <w:sz w:val="21"/>
                      <w:szCs w:val="21"/>
                    </w:rPr>
                  </w:pPr>
                  <w:bookmarkStart w:id="60" w:name="_Toc34059532"/>
                  <w:r>
                    <w:rPr>
                      <w:rFonts w:ascii="Times New Roman" w:hAnsi="Times New Roman" w:cs="Times New Roman"/>
                      <w:sz w:val="21"/>
                      <w:szCs w:val="21"/>
                    </w:rPr>
                    <w:t>备注：施工工期为6个月，180天</w:t>
                  </w:r>
                  <w:bookmarkEnd w:id="60"/>
                </w:p>
              </w:tc>
            </w:tr>
          </w:tbl>
          <w:p>
            <w:pPr>
              <w:spacing w:line="360" w:lineRule="auto"/>
              <w:ind w:firstLine="480" w:firstLineChars="200"/>
              <w:jc w:val="left"/>
              <w:rPr>
                <w:rFonts w:ascii="Times New Roman" w:hAnsi="Times New Roman" w:cs="Times New Roman"/>
                <w:szCs w:val="24"/>
              </w:rPr>
            </w:pPr>
            <w:r>
              <w:rPr>
                <w:rFonts w:hint="eastAsia" w:ascii="Times New Roman" w:hAnsi="Times New Roman" w:cs="Times New Roman"/>
                <w:szCs w:val="24"/>
              </w:rPr>
              <w:t>2.1.3</w:t>
            </w:r>
            <w:r>
              <w:rPr>
                <w:rFonts w:ascii="Times New Roman" w:hAnsi="Times New Roman" w:cs="Times New Roman"/>
                <w:szCs w:val="24"/>
              </w:rPr>
              <w:t>噪声</w:t>
            </w:r>
          </w:p>
          <w:p>
            <w:pPr>
              <w:spacing w:line="360" w:lineRule="auto"/>
              <w:ind w:firstLine="360" w:firstLineChars="150"/>
              <w:rPr>
                <w:rFonts w:ascii="Times New Roman" w:hAnsi="Times New Roman" w:cs="Times New Roman"/>
                <w:szCs w:val="24"/>
              </w:rPr>
            </w:pPr>
            <w:r>
              <w:rPr>
                <w:rFonts w:ascii="Times New Roman" w:hAnsi="Times New Roman" w:cs="Times New Roman"/>
                <w:szCs w:val="24"/>
              </w:rPr>
              <w:t>噪声主要来自建筑施工、装修过程。施工期的噪声设备主要有挖掘机、铲土机、卡车、搅拌机、振捣机、打桩机、起重机、电锯和压路机等，其噪声源强在87～105dB(A)之间。本工程主要建筑机械施工噪声源强见表5-6。</w:t>
            </w:r>
          </w:p>
          <w:p>
            <w:pPr>
              <w:spacing w:line="360" w:lineRule="auto"/>
              <w:jc w:val="center"/>
              <w:rPr>
                <w:rFonts w:ascii="Times New Roman" w:hAnsi="Times New Roman" w:cs="Times New Roman"/>
                <w:b/>
                <w:bCs/>
              </w:rPr>
            </w:pPr>
            <w:r>
              <w:rPr>
                <w:rFonts w:ascii="Times New Roman" w:hAnsi="Times New Roman" w:cs="Times New Roman"/>
                <w:b/>
                <w:bCs/>
              </w:rPr>
              <w:t xml:space="preserve">5-6  </w:t>
            </w:r>
            <w:r>
              <w:rPr>
                <w:rFonts w:hint="eastAsia" w:ascii="Times New Roman" w:hAnsi="Times New Roman" w:cs="Times New Roman"/>
                <w:b/>
                <w:bCs/>
              </w:rPr>
              <w:t>施工</w:t>
            </w:r>
            <w:r>
              <w:rPr>
                <w:rFonts w:ascii="Times New Roman" w:hAnsi="Times New Roman" w:cs="Times New Roman"/>
                <w:b/>
                <w:bCs/>
              </w:rPr>
              <w:t>期主要噪声源</w:t>
            </w:r>
          </w:p>
          <w:tbl>
            <w:tblPr>
              <w:tblStyle w:val="23"/>
              <w:tblW w:w="0" w:type="auto"/>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4136"/>
              <w:gridCol w:w="4170"/>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52" w:hRule="atLeast"/>
                <w:jc w:val="center"/>
              </w:trPr>
              <w:tc>
                <w:tcPr>
                  <w:tcW w:w="4571" w:type="dxa"/>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建设阶段</w:t>
                  </w:r>
                </w:p>
              </w:tc>
              <w:tc>
                <w:tcPr>
                  <w:tcW w:w="4585" w:type="dxa"/>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噪声源</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52" w:hRule="atLeast"/>
                <w:jc w:val="center"/>
              </w:trPr>
              <w:tc>
                <w:tcPr>
                  <w:tcW w:w="4571" w:type="dxa"/>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场平</w:t>
                  </w:r>
                </w:p>
              </w:tc>
              <w:tc>
                <w:tcPr>
                  <w:tcW w:w="4585" w:type="dxa"/>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挖掘机、铲土机、卡车</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52" w:hRule="atLeast"/>
                <w:jc w:val="center"/>
              </w:trPr>
              <w:tc>
                <w:tcPr>
                  <w:tcW w:w="45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建筑施工</w:t>
                  </w:r>
                </w:p>
              </w:tc>
              <w:tc>
                <w:tcPr>
                  <w:tcW w:w="4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搅拌机、振捣机、起重机、电锯</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52" w:hRule="atLeast"/>
                <w:jc w:val="center"/>
              </w:trPr>
              <w:tc>
                <w:tcPr>
                  <w:tcW w:w="45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路面施工</w:t>
                  </w:r>
                </w:p>
              </w:tc>
              <w:tc>
                <w:tcPr>
                  <w:tcW w:w="458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压路机</w:t>
                  </w:r>
                </w:p>
              </w:tc>
            </w:tr>
          </w:tbl>
          <w:p>
            <w:pPr>
              <w:spacing w:line="360" w:lineRule="auto"/>
              <w:jc w:val="center"/>
              <w:rPr>
                <w:rFonts w:ascii="Times New Roman" w:hAnsi="Times New Roman" w:cs="Times New Roman"/>
                <w:b/>
                <w:bCs/>
                <w:sz w:val="21"/>
                <w:szCs w:val="21"/>
              </w:rPr>
            </w:pPr>
            <w:r>
              <w:rPr>
                <w:rFonts w:ascii="Times New Roman" w:hAnsi="Times New Roman" w:cs="Times New Roman"/>
                <w:b/>
                <w:bCs/>
              </w:rPr>
              <w:t>表5-7  建筑施工机械噪声声级dB(A)</w:t>
            </w:r>
          </w:p>
          <w:tbl>
            <w:tblPr>
              <w:tblStyle w:val="23"/>
              <w:tblW w:w="0" w:type="auto"/>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1159"/>
              <w:gridCol w:w="1821"/>
              <w:gridCol w:w="1771"/>
              <w:gridCol w:w="1798"/>
              <w:gridCol w:w="1757"/>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vMerge w:val="restart"/>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名称</w:t>
                  </w:r>
                </w:p>
              </w:tc>
              <w:tc>
                <w:tcPr>
                  <w:tcW w:w="3942" w:type="dxa"/>
                  <w:gridSpan w:val="2"/>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距离声源10m</w:t>
                  </w:r>
                </w:p>
              </w:tc>
              <w:tc>
                <w:tcPr>
                  <w:tcW w:w="3941" w:type="dxa"/>
                  <w:gridSpan w:val="2"/>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距离声源30m</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vMerge w:val="continue"/>
                  <w:tcBorders>
                    <w:bottom w:val="single" w:color="000000" w:sz="12" w:space="0"/>
                    <w:tl2br w:val="nil"/>
                    <w:tr2bl w:val="nil"/>
                  </w:tcBorders>
                  <w:vAlign w:val="center"/>
                </w:tcPr>
                <w:p>
                  <w:pPr>
                    <w:spacing w:line="240" w:lineRule="auto"/>
                    <w:rPr>
                      <w:rFonts w:ascii="Times New Roman" w:hAnsi="Times New Roman" w:cs="Times New Roman"/>
                      <w:b/>
                      <w:bCs/>
                      <w:sz w:val="21"/>
                      <w:szCs w:val="21"/>
                    </w:rPr>
                  </w:pPr>
                </w:p>
              </w:tc>
              <w:tc>
                <w:tcPr>
                  <w:tcW w:w="1978"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噪声声级范围</w:t>
                  </w:r>
                </w:p>
              </w:tc>
              <w:tc>
                <w:tcPr>
                  <w:tcW w:w="1964"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平均噪声级</w:t>
                  </w:r>
                </w:p>
              </w:tc>
              <w:tc>
                <w:tcPr>
                  <w:tcW w:w="1979"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噪声声级范围</w:t>
                  </w:r>
                </w:p>
              </w:tc>
              <w:tc>
                <w:tcPr>
                  <w:tcW w:w="1962"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平均噪声级</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推土机</w:t>
                  </w:r>
                </w:p>
              </w:tc>
              <w:tc>
                <w:tcPr>
                  <w:tcW w:w="1978"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76～88</w:t>
                  </w:r>
                </w:p>
              </w:tc>
              <w:tc>
                <w:tcPr>
                  <w:tcW w:w="1964"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81</w:t>
                  </w:r>
                </w:p>
              </w:tc>
              <w:tc>
                <w:tcPr>
                  <w:tcW w:w="1979"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67～79</w:t>
                  </w:r>
                </w:p>
              </w:tc>
              <w:tc>
                <w:tcPr>
                  <w:tcW w:w="1962"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挖掘机</w:t>
                  </w:r>
                </w:p>
              </w:tc>
              <w:tc>
                <w:tcPr>
                  <w:tcW w:w="1978"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80～96</w:t>
                  </w:r>
                </w:p>
              </w:tc>
              <w:tc>
                <w:tcPr>
                  <w:tcW w:w="196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84</w:t>
                  </w:r>
                </w:p>
              </w:tc>
              <w:tc>
                <w:tcPr>
                  <w:tcW w:w="197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71～87</w:t>
                  </w:r>
                </w:p>
              </w:tc>
              <w:tc>
                <w:tcPr>
                  <w:tcW w:w="196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75</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装载机</w:t>
                  </w:r>
                </w:p>
              </w:tc>
              <w:tc>
                <w:tcPr>
                  <w:tcW w:w="1978"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68～74</w:t>
                  </w:r>
                </w:p>
              </w:tc>
              <w:tc>
                <w:tcPr>
                  <w:tcW w:w="196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71</w:t>
                  </w:r>
                </w:p>
              </w:tc>
              <w:tc>
                <w:tcPr>
                  <w:tcW w:w="197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59～65</w:t>
                  </w:r>
                </w:p>
              </w:tc>
              <w:tc>
                <w:tcPr>
                  <w:tcW w:w="196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打桩机</w:t>
                  </w:r>
                </w:p>
              </w:tc>
              <w:tc>
                <w:tcPr>
                  <w:tcW w:w="1978"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95-105</w:t>
                  </w:r>
                </w:p>
              </w:tc>
              <w:tc>
                <w:tcPr>
                  <w:tcW w:w="196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100</w:t>
                  </w:r>
                </w:p>
              </w:tc>
              <w:tc>
                <w:tcPr>
                  <w:tcW w:w="197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80～90</w:t>
                  </w:r>
                </w:p>
              </w:tc>
              <w:tc>
                <w:tcPr>
                  <w:tcW w:w="196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85</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振捣机</w:t>
                  </w:r>
                </w:p>
              </w:tc>
              <w:tc>
                <w:tcPr>
                  <w:tcW w:w="1978"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75～88</w:t>
                  </w:r>
                </w:p>
              </w:tc>
              <w:tc>
                <w:tcPr>
                  <w:tcW w:w="196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81</w:t>
                  </w:r>
                </w:p>
              </w:tc>
              <w:tc>
                <w:tcPr>
                  <w:tcW w:w="197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66～97</w:t>
                  </w:r>
                </w:p>
              </w:tc>
              <w:tc>
                <w:tcPr>
                  <w:tcW w:w="196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72</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73"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吊车</w:t>
                  </w:r>
                </w:p>
              </w:tc>
              <w:tc>
                <w:tcPr>
                  <w:tcW w:w="1978"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76～84</w:t>
                  </w:r>
                </w:p>
              </w:tc>
              <w:tc>
                <w:tcPr>
                  <w:tcW w:w="196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78</w:t>
                  </w:r>
                </w:p>
              </w:tc>
              <w:tc>
                <w:tcPr>
                  <w:tcW w:w="1979"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67～75</w:t>
                  </w:r>
                </w:p>
              </w:tc>
              <w:tc>
                <w:tcPr>
                  <w:tcW w:w="196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69</w:t>
                  </w:r>
                </w:p>
              </w:tc>
            </w:tr>
          </w:tbl>
          <w:p>
            <w:pPr>
              <w:spacing w:line="360" w:lineRule="auto"/>
              <w:ind w:firstLine="480" w:firstLineChars="200"/>
              <w:rPr>
                <w:rFonts w:ascii="Times New Roman" w:hAnsi="Times New Roman" w:cs="Times New Roman"/>
                <w:szCs w:val="24"/>
              </w:rPr>
            </w:pPr>
            <w:r>
              <w:rPr>
                <w:rFonts w:ascii="Times New Roman" w:hAnsi="Times New Roman" w:cs="Times New Roman"/>
                <w:szCs w:val="24"/>
              </w:rPr>
              <w:t>施工期的噪声主要有搅拌机、振捣泵、电锯、吊车、打桩机、升降机及运输车辆等，噪声源声压级一般在85dBA 左右（距源10m处），建筑施工噪声较大，</w:t>
            </w:r>
            <w:r>
              <w:rPr>
                <w:rFonts w:hint="eastAsia" w:ascii="Times New Roman" w:hAnsi="Times New Roman" w:cs="Times New Roman"/>
                <w:szCs w:val="24"/>
              </w:rPr>
              <w:t>必须</w:t>
            </w:r>
            <w:r>
              <w:rPr>
                <w:rFonts w:ascii="Times New Roman" w:hAnsi="Times New Roman" w:cs="Times New Roman"/>
                <w:szCs w:val="24"/>
              </w:rPr>
              <w:t>按《建筑施工场界环境噪声排放标准》GB 12523－2011（</w:t>
            </w:r>
            <w:r>
              <w:rPr>
                <w:rFonts w:hint="eastAsia" w:ascii="Times New Roman" w:hAnsi="Times New Roman" w:cs="Times New Roman"/>
                <w:szCs w:val="24"/>
              </w:rPr>
              <w:t>见</w:t>
            </w:r>
            <w:r>
              <w:rPr>
                <w:rFonts w:ascii="Times New Roman" w:hAnsi="Times New Roman" w:cs="Times New Roman"/>
                <w:szCs w:val="24"/>
              </w:rPr>
              <w:t xml:space="preserve">表5-8）控制施工时段及建筑噪声。 </w:t>
            </w:r>
          </w:p>
          <w:p>
            <w:pPr>
              <w:spacing w:line="360" w:lineRule="auto"/>
              <w:jc w:val="center"/>
              <w:rPr>
                <w:rFonts w:ascii="Times New Roman" w:hAnsi="Times New Roman" w:cs="Times New Roman"/>
                <w:b/>
                <w:bCs/>
              </w:rPr>
            </w:pPr>
            <w:r>
              <w:rPr>
                <w:rFonts w:ascii="Times New Roman" w:hAnsi="Times New Roman" w:cs="Times New Roman"/>
                <w:b/>
                <w:bCs/>
              </w:rPr>
              <w:t>表5-8  主要施工设施的噪声限值    dB(A)</w:t>
            </w:r>
          </w:p>
          <w:tbl>
            <w:tblPr>
              <w:tblStyle w:val="23"/>
              <w:tblW w:w="0" w:type="auto"/>
              <w:tblInd w:w="15" w:type="dxa"/>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Layout w:type="autofit"/>
              <w:tblCellMar>
                <w:top w:w="0" w:type="dxa"/>
                <w:left w:w="108" w:type="dxa"/>
                <w:bottom w:w="0" w:type="dxa"/>
                <w:right w:w="108" w:type="dxa"/>
              </w:tblCellMar>
            </w:tblPr>
            <w:tblGrid>
              <w:gridCol w:w="4489"/>
              <w:gridCol w:w="3802"/>
            </w:tblGrid>
            <w:tr>
              <w:tblPrEx>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CellMar>
                  <w:top w:w="0" w:type="dxa"/>
                  <w:left w:w="108" w:type="dxa"/>
                  <w:bottom w:w="0" w:type="dxa"/>
                  <w:right w:w="108" w:type="dxa"/>
                </w:tblCellMar>
              </w:tblPrEx>
              <w:trPr>
                <w:trHeight w:val="293" w:hRule="atLeast"/>
              </w:trPr>
              <w:tc>
                <w:tcPr>
                  <w:tcW w:w="4961" w:type="dxa"/>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昼 间</w:t>
                  </w:r>
                </w:p>
              </w:tc>
              <w:tc>
                <w:tcPr>
                  <w:tcW w:w="4195" w:type="dxa"/>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夜 间</w:t>
                  </w:r>
                </w:p>
              </w:tc>
            </w:tr>
            <w:tr>
              <w:tblPrEx>
                <w:tblBorders>
                  <w:top w:val="single" w:color="000000" w:sz="12" w:space="0"/>
                  <w:left w:val="none" w:color="auto" w:sz="0" w:space="0"/>
                  <w:bottom w:val="single" w:color="000000" w:sz="12" w:space="0"/>
                  <w:right w:val="none" w:color="auto" w:sz="0" w:space="0"/>
                  <w:insideH w:val="single" w:color="000000" w:sz="12" w:space="0"/>
                  <w:insideV w:val="single" w:color="000000" w:sz="4" w:space="0"/>
                </w:tblBorders>
                <w:tblCellMar>
                  <w:top w:w="0" w:type="dxa"/>
                  <w:left w:w="108" w:type="dxa"/>
                  <w:bottom w:w="0" w:type="dxa"/>
                  <w:right w:w="108" w:type="dxa"/>
                </w:tblCellMar>
              </w:tblPrEx>
              <w:trPr>
                <w:trHeight w:val="293" w:hRule="atLeast"/>
              </w:trPr>
              <w:tc>
                <w:tcPr>
                  <w:tcW w:w="49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70</w:t>
                  </w:r>
                </w:p>
              </w:tc>
              <w:tc>
                <w:tcPr>
                  <w:tcW w:w="4195"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55</w:t>
                  </w:r>
                </w:p>
              </w:tc>
            </w:tr>
          </w:tbl>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2.1.4</w:t>
            </w:r>
            <w:r>
              <w:rPr>
                <w:rFonts w:ascii="Times New Roman" w:hAnsi="Times New Roman" w:cs="Times New Roman"/>
                <w:szCs w:val="24"/>
              </w:rPr>
              <w:t>固废</w:t>
            </w:r>
          </w:p>
          <w:p>
            <w:pPr>
              <w:spacing w:line="360" w:lineRule="auto"/>
              <w:ind w:firstLine="480" w:firstLineChars="200"/>
              <w:rPr>
                <w:rFonts w:ascii="Times New Roman" w:hAnsi="Times New Roman" w:eastAsia="宋体" w:cs="Times New Roman"/>
                <w:szCs w:val="24"/>
              </w:rPr>
            </w:pPr>
            <w:r>
              <w:rPr>
                <w:rFonts w:ascii="Times New Roman" w:hAnsi="Times New Roman" w:eastAsia="宋体" w:cs="Times New Roman"/>
                <w:szCs w:val="24"/>
              </w:rPr>
              <w:t>施工期的固体废弃物主要为建筑固废、弃土及生活垃圾，建筑固废主要为混凝土块、废包装、建筑边角料等。</w:t>
            </w:r>
          </w:p>
          <w:p>
            <w:pPr>
              <w:spacing w:line="360" w:lineRule="auto"/>
              <w:ind w:firstLine="480" w:firstLineChars="200"/>
              <w:rPr>
                <w:rFonts w:ascii="Times New Roman" w:hAnsi="Times New Roman" w:eastAsia="宋体" w:cs="Times New Roman"/>
                <w:szCs w:val="24"/>
              </w:rPr>
            </w:pPr>
            <w:r>
              <w:rPr>
                <w:rFonts w:ascii="Times New Roman" w:hAnsi="Times New Roman" w:eastAsia="宋体" w:cs="Times New Roman"/>
                <w:szCs w:val="24"/>
              </w:rPr>
              <w:t>土石方：施工期主要进行土石方工程，包括土方开挖等。</w:t>
            </w:r>
            <w:r>
              <w:rPr>
                <w:rFonts w:hint="eastAsia" w:ascii="Times New Roman" w:hAnsi="Times New Roman" w:eastAsia="宋体" w:cs="Times New Roman"/>
                <w:szCs w:val="24"/>
              </w:rPr>
              <w:t>根据建设方资料，</w:t>
            </w:r>
            <w:r>
              <w:rPr>
                <w:rFonts w:ascii="Times New Roman" w:hAnsi="Times New Roman" w:eastAsia="宋体" w:cs="Times New Roman"/>
                <w:szCs w:val="24"/>
              </w:rPr>
              <w:t>项目挖方量约</w:t>
            </w:r>
            <w:r>
              <w:rPr>
                <w:rFonts w:hint="eastAsia" w:ascii="Times New Roman" w:hAnsi="Times New Roman" w:eastAsia="宋体" w:cs="Times New Roman"/>
                <w:szCs w:val="24"/>
              </w:rPr>
              <w:t>1</w:t>
            </w:r>
            <w:r>
              <w:rPr>
                <w:rFonts w:ascii="Times New Roman" w:hAnsi="Times New Roman" w:eastAsia="宋体" w:cs="Times New Roman"/>
                <w:szCs w:val="24"/>
              </w:rPr>
              <w:t>25468.00m</w:t>
            </w:r>
            <w:r>
              <w:rPr>
                <w:rFonts w:ascii="Times New Roman" w:hAnsi="Times New Roman" w:eastAsia="宋体" w:cs="Times New Roman"/>
                <w:szCs w:val="24"/>
                <w:vertAlign w:val="superscript"/>
              </w:rPr>
              <w:t>3</w:t>
            </w:r>
            <w:r>
              <w:rPr>
                <w:rFonts w:ascii="Times New Roman" w:hAnsi="Times New Roman" w:eastAsia="宋体" w:cs="Times New Roman"/>
                <w:szCs w:val="24"/>
              </w:rPr>
              <w:t>（包括表土），回填土方量约87334m</w:t>
            </w:r>
            <w:r>
              <w:rPr>
                <w:rFonts w:ascii="Times New Roman" w:hAnsi="Times New Roman" w:eastAsia="宋体" w:cs="Times New Roman"/>
                <w:szCs w:val="24"/>
                <w:vertAlign w:val="superscript"/>
              </w:rPr>
              <w:t>3</w:t>
            </w:r>
            <w:r>
              <w:rPr>
                <w:rFonts w:ascii="Times New Roman" w:hAnsi="Times New Roman" w:eastAsia="宋体" w:cs="Times New Roman"/>
                <w:szCs w:val="24"/>
              </w:rPr>
              <w:t>，弃土产生量约为38134m</w:t>
            </w:r>
            <w:r>
              <w:rPr>
                <w:rFonts w:ascii="Times New Roman" w:hAnsi="Times New Roman" w:eastAsia="宋体" w:cs="Times New Roman"/>
                <w:szCs w:val="24"/>
                <w:vertAlign w:val="superscript"/>
              </w:rPr>
              <w:t>3</w:t>
            </w:r>
            <w:r>
              <w:rPr>
                <w:rFonts w:ascii="Times New Roman" w:hAnsi="Times New Roman" w:eastAsia="宋体" w:cs="Times New Roman"/>
                <w:szCs w:val="24"/>
              </w:rPr>
              <w:t>。弃土弃方按照岳阳市渣土管理办公室要求运至指定地点填埋。</w:t>
            </w:r>
          </w:p>
          <w:p>
            <w:pPr>
              <w:spacing w:line="360" w:lineRule="auto"/>
              <w:ind w:firstLine="360" w:firstLineChars="150"/>
              <w:rPr>
                <w:rFonts w:ascii="Times New Roman" w:hAnsi="Times New Roman" w:eastAsia="宋体" w:cs="Times New Roman"/>
                <w:szCs w:val="24"/>
              </w:rPr>
            </w:pPr>
            <w:r>
              <w:rPr>
                <w:rFonts w:ascii="Times New Roman" w:hAnsi="Times New Roman" w:eastAsia="宋体" w:cs="Times New Roman"/>
                <w:szCs w:val="24"/>
              </w:rPr>
              <w:t>本项目土石方情况详见土石方平衡表5-9。</w:t>
            </w:r>
          </w:p>
          <w:p>
            <w:pPr>
              <w:spacing w:line="360" w:lineRule="auto"/>
              <w:jc w:val="center"/>
              <w:rPr>
                <w:rFonts w:ascii="Times New Roman" w:hAnsi="Times New Roman" w:cs="Times New Roman"/>
                <w:b/>
                <w:bCs/>
              </w:rPr>
            </w:pPr>
            <w:r>
              <w:rPr>
                <w:rFonts w:ascii="Times New Roman" w:hAnsi="Times New Roman" w:cs="Times New Roman"/>
                <w:b/>
                <w:bCs/>
              </w:rPr>
              <w:t>表5-9  项目土石方平衡表（单位：m</w:t>
            </w:r>
            <w:r>
              <w:rPr>
                <w:rFonts w:ascii="Times New Roman" w:hAnsi="Times New Roman" w:cs="Times New Roman"/>
                <w:b/>
                <w:bCs/>
                <w:vertAlign w:val="superscript"/>
              </w:rPr>
              <w:t>3</w:t>
            </w:r>
            <w:r>
              <w:rPr>
                <w:rFonts w:ascii="Times New Roman" w:hAnsi="Times New Roman" w:cs="Times New Roman"/>
                <w:b/>
                <w:bCs/>
              </w:rPr>
              <w:t>）</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Layout w:type="autofit"/>
              <w:tblCellMar>
                <w:top w:w="0" w:type="dxa"/>
                <w:left w:w="0" w:type="dxa"/>
                <w:bottom w:w="0" w:type="dxa"/>
                <w:right w:w="0" w:type="dxa"/>
              </w:tblCellMar>
            </w:tblPr>
            <w:tblGrid>
              <w:gridCol w:w="2006"/>
              <w:gridCol w:w="1705"/>
              <w:gridCol w:w="1607"/>
              <w:gridCol w:w="1542"/>
              <w:gridCol w:w="1446"/>
            </w:tblGrid>
            <w:tr>
              <w:tblPrEx>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CellMar>
                  <w:top w:w="0" w:type="dxa"/>
                  <w:left w:w="0" w:type="dxa"/>
                  <w:bottom w:w="0" w:type="dxa"/>
                  <w:right w:w="0" w:type="dxa"/>
                </w:tblCellMar>
              </w:tblPrEx>
              <w:trPr>
                <w:trHeight w:val="340" w:hRule="atLeast"/>
                <w:jc w:val="center"/>
              </w:trPr>
              <w:tc>
                <w:tcPr>
                  <w:tcW w:w="1208" w:type="pct"/>
                  <w:vAlign w:val="center"/>
                </w:tcPr>
                <w:p>
                  <w:pPr>
                    <w:snapToGrid w:val="0"/>
                    <w:spacing w:line="320" w:lineRule="atLeas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建设阶段</w:t>
                  </w:r>
                </w:p>
              </w:tc>
              <w:tc>
                <w:tcPr>
                  <w:tcW w:w="1026" w:type="pct"/>
                  <w:vAlign w:val="center"/>
                </w:tcPr>
                <w:p>
                  <w:pPr>
                    <w:snapToGrid w:val="0"/>
                    <w:spacing w:line="320" w:lineRule="atLeas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挖方量</w:t>
                  </w:r>
                </w:p>
              </w:tc>
              <w:tc>
                <w:tcPr>
                  <w:tcW w:w="967" w:type="pct"/>
                  <w:vAlign w:val="center"/>
                </w:tcPr>
                <w:p>
                  <w:pPr>
                    <w:snapToGrid w:val="0"/>
                    <w:spacing w:line="320" w:lineRule="atLeas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填方量</w:t>
                  </w:r>
                </w:p>
              </w:tc>
              <w:tc>
                <w:tcPr>
                  <w:tcW w:w="928" w:type="pct"/>
                  <w:vAlign w:val="center"/>
                </w:tcPr>
                <w:p>
                  <w:pPr>
                    <w:snapToGrid w:val="0"/>
                    <w:spacing w:line="320" w:lineRule="atLeas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借方</w:t>
                  </w:r>
                </w:p>
              </w:tc>
              <w:tc>
                <w:tcPr>
                  <w:tcW w:w="870" w:type="pct"/>
                  <w:vAlign w:val="center"/>
                </w:tcPr>
                <w:p>
                  <w:pPr>
                    <w:snapToGrid w:val="0"/>
                    <w:spacing w:line="320" w:lineRule="atLeas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弃方</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CellMar>
                  <w:top w:w="0" w:type="dxa"/>
                  <w:left w:w="0" w:type="dxa"/>
                  <w:bottom w:w="0" w:type="dxa"/>
                  <w:right w:w="0" w:type="dxa"/>
                </w:tblCellMar>
              </w:tblPrEx>
              <w:trPr>
                <w:trHeight w:val="340" w:hRule="atLeast"/>
                <w:jc w:val="center"/>
              </w:trPr>
              <w:tc>
                <w:tcPr>
                  <w:tcW w:w="1208" w:type="pct"/>
                  <w:vAlign w:val="center"/>
                </w:tcPr>
                <w:p>
                  <w:pPr>
                    <w:snapToGrid w:val="0"/>
                    <w:spacing w:line="320" w:lineRule="atLeast"/>
                    <w:jc w:val="center"/>
                    <w:rPr>
                      <w:rFonts w:ascii="Times New Roman" w:hAnsi="Times New Roman" w:eastAsia="宋体" w:cs="Times New Roman"/>
                      <w:sz w:val="21"/>
                      <w:szCs w:val="21"/>
                    </w:rPr>
                  </w:pPr>
                  <w:r>
                    <w:rPr>
                      <w:rFonts w:ascii="Times New Roman" w:hAnsi="Times New Roman" w:eastAsia="宋体" w:cs="Times New Roman"/>
                      <w:sz w:val="21"/>
                      <w:szCs w:val="21"/>
                    </w:rPr>
                    <w:t>土方开挖</w:t>
                  </w:r>
                </w:p>
              </w:tc>
              <w:tc>
                <w:tcPr>
                  <w:tcW w:w="1026" w:type="pct"/>
                  <w:vAlign w:val="center"/>
                </w:tcPr>
                <w:p>
                  <w:pPr>
                    <w:snapToGrid w:val="0"/>
                    <w:spacing w:line="320" w:lineRule="atLeast"/>
                    <w:jc w:val="center"/>
                    <w:rPr>
                      <w:rFonts w:ascii="Times New Roman" w:hAnsi="Times New Roman" w:eastAsia="宋体" w:cs="Times New Roman"/>
                      <w:sz w:val="21"/>
                      <w:szCs w:val="21"/>
                    </w:rPr>
                  </w:pPr>
                  <w:r>
                    <w:rPr>
                      <w:rFonts w:ascii="Times New Roman" w:hAnsi="Times New Roman" w:eastAsia="宋体" w:cs="Times New Roman"/>
                      <w:sz w:val="21"/>
                      <w:szCs w:val="21"/>
                    </w:rPr>
                    <w:t>125468</w:t>
                  </w:r>
                </w:p>
              </w:tc>
              <w:tc>
                <w:tcPr>
                  <w:tcW w:w="967" w:type="pct"/>
                  <w:vAlign w:val="center"/>
                </w:tcPr>
                <w:p>
                  <w:pPr>
                    <w:snapToGrid w:val="0"/>
                    <w:spacing w:line="320" w:lineRule="atLeast"/>
                    <w:jc w:val="center"/>
                    <w:rPr>
                      <w:rFonts w:ascii="Times New Roman" w:hAnsi="Times New Roman" w:eastAsia="宋体" w:cs="Times New Roman"/>
                      <w:sz w:val="21"/>
                      <w:szCs w:val="21"/>
                    </w:rPr>
                  </w:pPr>
                  <w:r>
                    <w:rPr>
                      <w:rFonts w:ascii="Times New Roman" w:hAnsi="Times New Roman" w:eastAsia="宋体" w:cs="Times New Roman"/>
                      <w:sz w:val="21"/>
                      <w:szCs w:val="21"/>
                    </w:rPr>
                    <w:t>87334</w:t>
                  </w:r>
                </w:p>
              </w:tc>
              <w:tc>
                <w:tcPr>
                  <w:tcW w:w="928" w:type="pct"/>
                  <w:vAlign w:val="center"/>
                </w:tcPr>
                <w:p>
                  <w:pPr>
                    <w:snapToGrid w:val="0"/>
                    <w:spacing w:line="320" w:lineRule="atLeast"/>
                    <w:jc w:val="center"/>
                    <w:rPr>
                      <w:rFonts w:ascii="Times New Roman" w:hAnsi="Times New Roman" w:eastAsia="宋体" w:cs="Times New Roman"/>
                      <w:sz w:val="21"/>
                      <w:szCs w:val="21"/>
                    </w:rPr>
                  </w:pPr>
                  <w:r>
                    <w:rPr>
                      <w:rFonts w:ascii="Times New Roman" w:hAnsi="Times New Roman" w:eastAsia="宋体" w:cs="Times New Roman"/>
                      <w:sz w:val="21"/>
                      <w:szCs w:val="21"/>
                    </w:rPr>
                    <w:t>0</w:t>
                  </w:r>
                </w:p>
              </w:tc>
              <w:tc>
                <w:tcPr>
                  <w:tcW w:w="870" w:type="pct"/>
                  <w:vAlign w:val="center"/>
                </w:tcPr>
                <w:p>
                  <w:pPr>
                    <w:snapToGrid w:val="0"/>
                    <w:spacing w:line="320" w:lineRule="atLeast"/>
                    <w:jc w:val="center"/>
                    <w:rPr>
                      <w:rFonts w:ascii="Times New Roman" w:hAnsi="Times New Roman" w:eastAsia="宋体" w:cs="Times New Roman"/>
                      <w:sz w:val="21"/>
                      <w:szCs w:val="21"/>
                    </w:rPr>
                  </w:pPr>
                  <w:r>
                    <w:rPr>
                      <w:rFonts w:ascii="Times New Roman" w:hAnsi="Times New Roman" w:eastAsia="宋体" w:cs="Times New Roman"/>
                      <w:sz w:val="21"/>
                      <w:szCs w:val="21"/>
                    </w:rPr>
                    <w:t>38134</w:t>
                  </w:r>
                </w:p>
              </w:tc>
            </w:tr>
          </w:tbl>
          <w:p>
            <w:pPr>
              <w:pStyle w:val="32"/>
              <w:adjustRightInd/>
              <w:snapToGrid/>
              <w:ind w:firstLine="480"/>
              <w:rPr>
                <w:rFonts w:ascii="Times New Roman" w:hAnsi="Times New Roman" w:eastAsia="宋体" w:cs="Times New Roman"/>
                <w:szCs w:val="24"/>
              </w:rPr>
            </w:pPr>
            <w:r>
              <w:rPr>
                <w:rFonts w:ascii="Times New Roman" w:hAnsi="Times New Roman" w:eastAsia="宋体" w:cs="Times New Roman"/>
                <w:szCs w:val="24"/>
              </w:rPr>
              <w:t>建筑固废主要为混凝土块、碎砖、废包装、废塑料、木材、废涂料、建筑边角料等，</w:t>
            </w:r>
            <w:r>
              <w:rPr>
                <w:rFonts w:hint="eastAsia" w:ascii="Times New Roman" w:hAnsi="Times New Roman" w:eastAsia="宋体" w:cs="Times New Roman"/>
                <w:szCs w:val="24"/>
              </w:rPr>
              <w:t>建筑垃圾</w:t>
            </w:r>
            <w:r>
              <w:rPr>
                <w:rFonts w:ascii="Times New Roman" w:hAnsi="Times New Roman" w:eastAsia="宋体" w:cs="Times New Roman"/>
                <w:szCs w:val="24"/>
              </w:rPr>
              <w:t>按每1m2建筑面积0.05t计，工程建筑面积约38007.35</w:t>
            </w:r>
            <w:r>
              <w:rPr>
                <w:rFonts w:hint="eastAsia" w:ascii="Times New Roman" w:hAnsi="Times New Roman" w:eastAsia="宋体" w:cs="Times New Roman"/>
                <w:szCs w:val="24"/>
              </w:rPr>
              <w:t>㎡</w:t>
            </w:r>
            <w:r>
              <w:rPr>
                <w:rFonts w:ascii="Times New Roman" w:hAnsi="Times New Roman" w:eastAsia="宋体" w:cs="Times New Roman"/>
                <w:szCs w:val="24"/>
              </w:rPr>
              <w:t>，则建筑垃圾产生量约1900.3675t，建筑垃圾由专业建筑垃圾运输车按照渣土办规定路线运至指定场地，尽量减少施工垃圾对环境和城市市容的不利影响。</w:t>
            </w:r>
          </w:p>
          <w:p>
            <w:pPr>
              <w:pStyle w:val="32"/>
              <w:adjustRightInd/>
              <w:snapToGrid/>
              <w:ind w:firstLine="480"/>
              <w:rPr>
                <w:rFonts w:ascii="Times New Roman" w:hAnsi="Times New Roman" w:eastAsia="宋体" w:cs="Times New Roman"/>
                <w:szCs w:val="24"/>
                <w:u w:val="single"/>
              </w:rPr>
            </w:pPr>
            <w:r>
              <w:rPr>
                <w:rFonts w:ascii="Times New Roman" w:hAnsi="Times New Roman" w:eastAsia="宋体" w:cs="Times New Roman"/>
                <w:szCs w:val="24"/>
                <w:u w:val="single"/>
              </w:rPr>
              <w:t>施工人员产生的生活垃圾，按每人每日0.5kg计，施工人员350人，施工期为6个月</w:t>
            </w:r>
            <w:r>
              <w:rPr>
                <w:rFonts w:hint="eastAsia" w:ascii="Times New Roman" w:hAnsi="Times New Roman" w:eastAsia="宋体" w:cs="Times New Roman"/>
                <w:szCs w:val="24"/>
                <w:u w:val="single"/>
              </w:rPr>
              <w:t>，预计2</w:t>
            </w:r>
            <w:r>
              <w:rPr>
                <w:rFonts w:ascii="Times New Roman" w:hAnsi="Times New Roman" w:eastAsia="宋体" w:cs="Times New Roman"/>
                <w:szCs w:val="24"/>
                <w:u w:val="single"/>
              </w:rPr>
              <w:t>020</w:t>
            </w:r>
            <w:r>
              <w:rPr>
                <w:rFonts w:hint="eastAsia" w:ascii="Times New Roman" w:hAnsi="Times New Roman" w:eastAsia="宋体" w:cs="Times New Roman"/>
                <w:szCs w:val="24"/>
                <w:u w:val="single"/>
              </w:rPr>
              <w:t>年9月投产</w:t>
            </w:r>
            <w:r>
              <w:rPr>
                <w:rFonts w:ascii="Times New Roman" w:hAnsi="Times New Roman" w:eastAsia="宋体" w:cs="Times New Roman"/>
                <w:szCs w:val="24"/>
                <w:u w:val="single"/>
              </w:rPr>
              <w:t>，则共产生生活垃圾31.5t，生活垃圾由环卫工人收集后送城市垃圾填埋场处置</w:t>
            </w:r>
            <w:r>
              <w:rPr>
                <w:rFonts w:hint="eastAsia" w:ascii="Times New Roman" w:hAnsi="Times New Roman" w:eastAsia="宋体" w:cs="Times New Roman"/>
                <w:szCs w:val="24"/>
                <w:u w:val="single"/>
              </w:rPr>
              <w:t>。</w:t>
            </w:r>
          </w:p>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2.1.5</w:t>
            </w:r>
            <w:r>
              <w:rPr>
                <w:rFonts w:ascii="Times New Roman" w:hAnsi="Times New Roman" w:cs="Times New Roman"/>
                <w:szCs w:val="24"/>
              </w:rPr>
              <w:t>生态影响</w:t>
            </w:r>
          </w:p>
          <w:p>
            <w:pPr>
              <w:pStyle w:val="32"/>
              <w:adjustRightInd/>
              <w:snapToGrid/>
              <w:ind w:firstLine="480"/>
              <w:rPr>
                <w:rFonts w:ascii="Times New Roman" w:hAnsi="Times New Roman" w:cs="Times New Roman"/>
                <w:szCs w:val="24"/>
              </w:rPr>
            </w:pPr>
            <w:r>
              <w:rPr>
                <w:rFonts w:ascii="Times New Roman" w:hAnsi="Times New Roman" w:cs="Times New Roman"/>
                <w:szCs w:val="24"/>
              </w:rPr>
              <w:t>本项目所在地不属于已公布的岳阳市生态红线范围内，也不属于东洞庭湖自然保护区范围之内。本项目的开工建设，土石方的开挖、回填，将造成区域地表植物的破坏，雨季将有一定的水土流失，建议本项目在设计时能因地制宜，尽量保持原有植被，将有保留价值的树种进行移植栽培，避免雨季施工，裸露地面及时进行硬化或者覆盖。在施工完成后及时进行绿化。</w:t>
            </w:r>
          </w:p>
          <w:p>
            <w:pPr>
              <w:pStyle w:val="5"/>
              <w:ind w:firstLine="562"/>
            </w:pPr>
            <w:bookmarkStart w:id="61" w:name="_Toc34059533"/>
            <w:r>
              <w:rPr>
                <w:rFonts w:hint="eastAsia"/>
              </w:rPr>
              <w:t>2.2</w:t>
            </w:r>
            <w:r>
              <w:t>运营期主要污染源</w:t>
            </w:r>
            <w:bookmarkEnd w:id="61"/>
          </w:p>
          <w:p>
            <w:pPr>
              <w:pStyle w:val="32"/>
              <w:adjustRightInd/>
              <w:snapToGrid/>
              <w:ind w:firstLine="480"/>
              <w:rPr>
                <w:rFonts w:ascii="Times New Roman" w:hAnsi="Times New Roman" w:cs="Times New Roman"/>
                <w:bCs/>
              </w:rPr>
            </w:pPr>
            <w:r>
              <w:rPr>
                <w:rFonts w:hint="eastAsia" w:ascii="Times New Roman" w:hAnsi="Times New Roman" w:cs="Times New Roman"/>
                <w:bCs/>
              </w:rPr>
              <w:t>2.2.1</w:t>
            </w:r>
            <w:r>
              <w:rPr>
                <w:rFonts w:ascii="Times New Roman" w:hAnsi="Times New Roman" w:cs="Times New Roman"/>
                <w:bCs/>
              </w:rPr>
              <w:t>废气</w:t>
            </w:r>
          </w:p>
          <w:p>
            <w:pPr>
              <w:pStyle w:val="32"/>
              <w:adjustRightInd/>
              <w:snapToGrid/>
              <w:ind w:firstLine="480"/>
              <w:rPr>
                <w:rFonts w:ascii="Times New Roman" w:hAnsi="Times New Roman" w:eastAsia="宋体" w:cs="Times New Roman"/>
                <w:bCs/>
              </w:rPr>
            </w:pPr>
            <w:r>
              <w:rPr>
                <w:rFonts w:ascii="Times New Roman" w:hAnsi="Times New Roman" w:cs="Times New Roman"/>
                <w:bCs/>
              </w:rPr>
              <w:t>建设项目运营期产生的废气主要为实验室废气、地下车库汽车尾气、</w:t>
            </w:r>
            <w:r>
              <w:rPr>
                <w:rFonts w:hint="eastAsia" w:ascii="Times New Roman" w:hAnsi="Times New Roman" w:cs="Times New Roman"/>
                <w:bCs/>
              </w:rPr>
              <w:t>污水处理站臭气</w:t>
            </w:r>
            <w:r>
              <w:rPr>
                <w:rFonts w:ascii="Times New Roman" w:hAnsi="Times New Roman" w:cs="Times New Roman"/>
                <w:bCs/>
              </w:rPr>
              <w:t>和油烟废气。</w:t>
            </w:r>
          </w:p>
          <w:p>
            <w:pPr>
              <w:pStyle w:val="32"/>
              <w:adjustRightInd/>
              <w:snapToGrid/>
              <w:ind w:firstLine="480" w:firstLineChars="0"/>
              <w:rPr>
                <w:rFonts w:ascii="Times New Roman" w:hAnsi="Times New Roman" w:eastAsia="宋体" w:cs="Times New Roman"/>
                <w:bCs/>
              </w:rPr>
            </w:pPr>
            <w:r>
              <w:rPr>
                <w:rFonts w:ascii="Times New Roman" w:hAnsi="Times New Roman" w:cs="Times New Roman"/>
                <w:bCs/>
              </w:rPr>
              <w:t>（</w:t>
            </w:r>
            <w:r>
              <w:rPr>
                <w:rFonts w:hint="eastAsia" w:ascii="Times New Roman" w:hAnsi="Times New Roman" w:cs="Times New Roman"/>
                <w:bCs/>
              </w:rPr>
              <w:t>1</w:t>
            </w:r>
            <w:r>
              <w:rPr>
                <w:rFonts w:ascii="Times New Roman" w:hAnsi="Times New Roman" w:cs="Times New Roman"/>
                <w:bCs/>
              </w:rPr>
              <w:t>）食堂油烟废气</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本项目食堂分为</w:t>
            </w:r>
            <w:r>
              <w:rPr>
                <w:rFonts w:hint="eastAsia" w:ascii="Times New Roman" w:hAnsi="Times New Roman" w:cs="Times New Roman"/>
                <w:szCs w:val="24"/>
              </w:rPr>
              <w:t>小学</w:t>
            </w:r>
            <w:r>
              <w:rPr>
                <w:rFonts w:ascii="Times New Roman" w:hAnsi="Times New Roman" w:cs="Times New Roman"/>
                <w:szCs w:val="24"/>
              </w:rPr>
              <w:t>食堂（</w:t>
            </w:r>
            <w:r>
              <w:rPr>
                <w:rFonts w:hint="eastAsia" w:ascii="Times New Roman" w:hAnsi="Times New Roman" w:cs="Times New Roman"/>
                <w:szCs w:val="24"/>
              </w:rPr>
              <w:t>综合楼一层</w:t>
            </w:r>
            <w:r>
              <w:rPr>
                <w:rFonts w:ascii="Times New Roman" w:hAnsi="Times New Roman" w:cs="Times New Roman"/>
                <w:szCs w:val="24"/>
              </w:rPr>
              <w:t>）和</w:t>
            </w:r>
            <w:r>
              <w:rPr>
                <w:rFonts w:hint="eastAsia" w:ascii="Times New Roman" w:hAnsi="Times New Roman" w:cs="Times New Roman"/>
                <w:szCs w:val="24"/>
              </w:rPr>
              <w:t>中学</w:t>
            </w:r>
            <w:r>
              <w:rPr>
                <w:rFonts w:ascii="Times New Roman" w:hAnsi="Times New Roman" w:cs="Times New Roman"/>
                <w:szCs w:val="24"/>
              </w:rPr>
              <w:t>食堂</w:t>
            </w:r>
            <w:r>
              <w:rPr>
                <w:rFonts w:hint="eastAsia" w:ascii="Times New Roman" w:hAnsi="Times New Roman" w:cs="Times New Roman"/>
                <w:szCs w:val="24"/>
              </w:rPr>
              <w:t>（综合楼二层）</w:t>
            </w:r>
            <w:r>
              <w:rPr>
                <w:rFonts w:ascii="Times New Roman" w:hAnsi="Times New Roman" w:cs="Times New Roman"/>
                <w:szCs w:val="24"/>
              </w:rPr>
              <w:t>，</w:t>
            </w:r>
            <w:r>
              <w:rPr>
                <w:rFonts w:hint="eastAsia" w:ascii="Times New Roman" w:hAnsi="Times New Roman" w:cs="Times New Roman"/>
                <w:szCs w:val="24"/>
              </w:rPr>
              <w:t>在综合楼小厨房北侧</w:t>
            </w:r>
            <w:r>
              <w:rPr>
                <w:rFonts w:ascii="Times New Roman" w:hAnsi="Times New Roman" w:cs="Times New Roman"/>
                <w:szCs w:val="24"/>
              </w:rPr>
              <w:t>分设两个食堂烟道，分布详见附图。厨房油烟排放时间主要集中在每天的</w:t>
            </w:r>
            <w:r>
              <w:rPr>
                <w:rFonts w:ascii="Times New Roman" w:hAnsi="Times New Roman" w:eastAsia="Times-Roman" w:cs="Times New Roman"/>
                <w:szCs w:val="24"/>
              </w:rPr>
              <w:t>6:30</w:t>
            </w:r>
            <w:r>
              <w:rPr>
                <w:rFonts w:ascii="Times New Roman" w:hAnsi="Times New Roman" w:cs="Times New Roman"/>
                <w:szCs w:val="24"/>
              </w:rPr>
              <w:t>～</w:t>
            </w:r>
            <w:r>
              <w:rPr>
                <w:rFonts w:ascii="Times New Roman" w:hAnsi="Times New Roman" w:eastAsia="Times-Roman" w:cs="Times New Roman"/>
                <w:szCs w:val="24"/>
              </w:rPr>
              <w:t>7:30</w:t>
            </w:r>
            <w:r>
              <w:rPr>
                <w:rFonts w:ascii="Times New Roman" w:hAnsi="Times New Roman" w:cs="Times New Roman"/>
                <w:szCs w:val="24"/>
              </w:rPr>
              <w:t>、</w:t>
            </w:r>
            <w:r>
              <w:rPr>
                <w:rFonts w:ascii="Times New Roman" w:hAnsi="Times New Roman" w:eastAsia="Times-Roman" w:cs="Times New Roman"/>
                <w:szCs w:val="24"/>
              </w:rPr>
              <w:t>11:30</w:t>
            </w:r>
            <w:r>
              <w:rPr>
                <w:rFonts w:ascii="Times New Roman" w:hAnsi="Times New Roman" w:cs="Times New Roman"/>
                <w:szCs w:val="24"/>
              </w:rPr>
              <w:t>～</w:t>
            </w:r>
            <w:r>
              <w:rPr>
                <w:rFonts w:ascii="Times New Roman" w:hAnsi="Times New Roman" w:eastAsia="Times-Roman" w:cs="Times New Roman"/>
                <w:szCs w:val="24"/>
              </w:rPr>
              <w:t>13:30</w:t>
            </w:r>
            <w:r>
              <w:rPr>
                <w:rFonts w:ascii="Times New Roman" w:hAnsi="Times New Roman" w:cs="Times New Roman"/>
                <w:szCs w:val="24"/>
              </w:rPr>
              <w:t>和</w:t>
            </w:r>
            <w:r>
              <w:rPr>
                <w:rFonts w:ascii="Times New Roman" w:hAnsi="Times New Roman" w:eastAsia="Times-Roman" w:cs="Times New Roman"/>
                <w:szCs w:val="24"/>
              </w:rPr>
              <w:t>17:30</w:t>
            </w:r>
            <w:r>
              <w:rPr>
                <w:rFonts w:ascii="Times New Roman" w:hAnsi="Times New Roman" w:cs="Times New Roman"/>
                <w:szCs w:val="24"/>
              </w:rPr>
              <w:t>～</w:t>
            </w:r>
            <w:r>
              <w:rPr>
                <w:rFonts w:ascii="Times New Roman" w:hAnsi="Times New Roman" w:eastAsia="Times-Roman" w:cs="Times New Roman"/>
                <w:szCs w:val="24"/>
              </w:rPr>
              <w:t>19:30</w:t>
            </w:r>
            <w:r>
              <w:rPr>
                <w:rFonts w:ascii="Times New Roman" w:hAnsi="Times New Roman" w:cs="Times New Roman"/>
                <w:szCs w:val="24"/>
              </w:rPr>
              <w:t>三个时间段，排放具有间歇性。食堂油烟废气产排情况如下所示：</w:t>
            </w:r>
          </w:p>
          <w:p>
            <w:pPr>
              <w:spacing w:line="360" w:lineRule="auto"/>
              <w:ind w:firstLine="480" w:firstLineChars="200"/>
              <w:rPr>
                <w:rFonts w:ascii="Times New Roman" w:hAnsi="Times New Roman" w:cs="Times New Roman"/>
                <w:szCs w:val="24"/>
              </w:rPr>
            </w:pPr>
            <w:r>
              <w:rPr>
                <w:rFonts w:ascii="Times New Roman" w:hAnsi="Times New Roman" w:cs="Times New Roman"/>
                <w:szCs w:val="24"/>
              </w:rPr>
              <w:fldChar w:fldCharType="begin"/>
            </w:r>
            <w:r>
              <w:rPr>
                <w:rFonts w:ascii="Times New Roman" w:hAnsi="Times New Roman" w:cs="Times New Roman"/>
                <w:szCs w:val="24"/>
              </w:rPr>
              <w:instrText xml:space="preserve"> </w:instrText>
            </w:r>
            <w:r>
              <w:rPr>
                <w:rFonts w:hint="eastAsia" w:ascii="Times New Roman" w:hAnsi="Times New Roman" w:cs="Times New Roman"/>
                <w:szCs w:val="24"/>
              </w:rPr>
              <w:instrText xml:space="preserve">= 1 \* GB3</w:instrText>
            </w:r>
            <w:r>
              <w:rPr>
                <w:rFonts w:ascii="Times New Roman" w:hAnsi="Times New Roman" w:cs="Times New Roman"/>
                <w:szCs w:val="24"/>
              </w:rPr>
              <w:instrText xml:space="preserve"> </w:instrText>
            </w:r>
            <w:r>
              <w:rPr>
                <w:rFonts w:ascii="Times New Roman" w:hAnsi="Times New Roman" w:cs="Times New Roman"/>
                <w:szCs w:val="24"/>
              </w:rPr>
              <w:fldChar w:fldCharType="separate"/>
            </w:r>
            <w:r>
              <w:rPr>
                <w:rFonts w:hint="eastAsia" w:ascii="Times New Roman" w:hAnsi="Times New Roman" w:cs="Times New Roman"/>
                <w:szCs w:val="24"/>
              </w:rPr>
              <w:t>①</w:t>
            </w:r>
            <w:r>
              <w:rPr>
                <w:rFonts w:ascii="Times New Roman" w:hAnsi="Times New Roman" w:cs="Times New Roman"/>
                <w:szCs w:val="24"/>
              </w:rPr>
              <w:fldChar w:fldCharType="end"/>
            </w:r>
            <w:r>
              <w:rPr>
                <w:rFonts w:hint="eastAsia" w:ascii="Times New Roman" w:hAnsi="Times New Roman" w:cs="Times New Roman"/>
                <w:szCs w:val="24"/>
              </w:rPr>
              <w:t>小学食堂</w:t>
            </w:r>
          </w:p>
          <w:p>
            <w:pPr>
              <w:spacing w:line="360" w:lineRule="auto"/>
              <w:ind w:firstLine="480" w:firstLineChars="200"/>
              <w:rPr>
                <w:rFonts w:ascii="Times New Roman" w:hAnsi="Times New Roman" w:cs="Times New Roman"/>
                <w:szCs w:val="21"/>
              </w:rPr>
            </w:pPr>
            <w:r>
              <w:rPr>
                <w:rFonts w:hint="eastAsia" w:ascii="Times New Roman" w:hAnsi="Times New Roman" w:cs="Times New Roman"/>
                <w:szCs w:val="24"/>
              </w:rPr>
              <w:t>根据建设单位提供资料，小学食堂位于综合楼一层，配备一个烹调区，设计最大就餐人数为1</w:t>
            </w:r>
            <w:r>
              <w:rPr>
                <w:rFonts w:ascii="Times New Roman" w:hAnsi="Times New Roman" w:cs="Times New Roman"/>
                <w:szCs w:val="24"/>
              </w:rPr>
              <w:t>620</w:t>
            </w:r>
            <w:r>
              <w:rPr>
                <w:rFonts w:hint="eastAsia" w:ascii="Times New Roman" w:hAnsi="Times New Roman" w:cs="Times New Roman"/>
                <w:szCs w:val="24"/>
              </w:rPr>
              <w:t>人，烹调区拟建灶台数</w:t>
            </w:r>
            <w:r>
              <w:rPr>
                <w:rFonts w:ascii="Times New Roman" w:hAnsi="Times New Roman" w:cs="Times New Roman"/>
                <w:szCs w:val="21"/>
              </w:rPr>
              <w:t>为6个，</w:t>
            </w:r>
            <w:r>
              <w:rPr>
                <w:rFonts w:ascii="Times New Roman" w:hAnsi="Times New Roman" w:cs="Times New Roman"/>
                <w:kern w:val="0"/>
              </w:rPr>
              <w:t>每个灶头风量4000m</w:t>
            </w:r>
            <w:r>
              <w:rPr>
                <w:rFonts w:ascii="Times New Roman" w:hAnsi="Times New Roman" w:cs="Times New Roman"/>
                <w:kern w:val="0"/>
                <w:vertAlign w:val="superscript"/>
              </w:rPr>
              <w:t>3</w:t>
            </w:r>
            <w:r>
              <w:rPr>
                <w:rFonts w:ascii="Times New Roman" w:hAnsi="Times New Roman" w:cs="Times New Roman"/>
                <w:kern w:val="0"/>
              </w:rPr>
              <w:t>/h</w:t>
            </w:r>
            <w:r>
              <w:rPr>
                <w:rFonts w:ascii="Times New Roman" w:hAnsi="Times New Roman" w:cs="Times New Roman"/>
                <w:szCs w:val="21"/>
              </w:rPr>
              <w:t>。每台灶日工作时间约5h。根据《饮食业油烟排放标准》（GB18483-2001）表1规模划分为大型。据调查居民人均日食用油用量约为25g/人·d，则食堂总耗油量分别为40.5kg/d（8100kg/a），一般油烟挥发量约占总耗油量的3%，</w:t>
            </w:r>
            <w:r>
              <w:rPr>
                <w:rFonts w:ascii="Times New Roman" w:hAnsi="Times New Roman" w:cs="Times New Roman"/>
                <w:kern w:val="0"/>
              </w:rPr>
              <w:t>则餐饮最大油烟量产生分别为1.215kg/d（243</w:t>
            </w:r>
            <w:r>
              <w:rPr>
                <w:rFonts w:ascii="Times New Roman" w:hAnsi="Times New Roman" w:cs="Times New Roman"/>
                <w:szCs w:val="21"/>
              </w:rPr>
              <w:t>kg/a</w:t>
            </w:r>
            <w:r>
              <w:rPr>
                <w:rFonts w:ascii="Times New Roman" w:hAnsi="Times New Roman" w:cs="Times New Roman"/>
                <w:kern w:val="0"/>
              </w:rPr>
              <w:t>）</w:t>
            </w:r>
            <w:r>
              <w:rPr>
                <w:rFonts w:ascii="Times New Roman" w:hAnsi="Times New Roman" w:cs="Times New Roman"/>
                <w:szCs w:val="24"/>
              </w:rPr>
              <w:t>。</w:t>
            </w:r>
            <w:r>
              <w:rPr>
                <w:rFonts w:ascii="Times New Roman" w:hAnsi="Times New Roman" w:cs="Times New Roman"/>
                <w:szCs w:val="21"/>
              </w:rPr>
              <w:t>安装油烟净化装置（其油烟净化率为85%）后，则油烟排放量约为0.1823</w:t>
            </w:r>
            <w:r>
              <w:rPr>
                <w:rFonts w:ascii="Times New Roman" w:hAnsi="Times New Roman" w:cs="Times New Roman"/>
                <w:kern w:val="0"/>
              </w:rPr>
              <w:t>kg/d</w:t>
            </w:r>
            <w:r>
              <w:rPr>
                <w:rFonts w:ascii="Times New Roman" w:hAnsi="Times New Roman" w:cs="Times New Roman"/>
                <w:szCs w:val="21"/>
              </w:rPr>
              <w:t>（36.45kg/a），油烟排放浓度为1.519mg/</w:t>
            </w:r>
            <w:r>
              <w:rPr>
                <w:rFonts w:ascii="Times New Roman" w:hAnsi="Times New Roman" w:cs="Times New Roman"/>
                <w:szCs w:val="24"/>
              </w:rPr>
              <w:t>m</w:t>
            </w:r>
            <w:r>
              <w:rPr>
                <w:rFonts w:ascii="Times New Roman" w:hAnsi="Times New Roman" w:cs="Times New Roman"/>
                <w:szCs w:val="24"/>
                <w:vertAlign w:val="superscript"/>
              </w:rPr>
              <w:t>3</w:t>
            </w:r>
            <w:r>
              <w:rPr>
                <w:rFonts w:ascii="Times New Roman" w:hAnsi="Times New Roman" w:cs="Times New Roman"/>
                <w:szCs w:val="24"/>
              </w:rPr>
              <w:t>。</w:t>
            </w:r>
          </w:p>
          <w:p>
            <w:pPr>
              <w:spacing w:line="360" w:lineRule="auto"/>
              <w:ind w:firstLine="480" w:firstLineChars="200"/>
              <w:rPr>
                <w:rFonts w:ascii="Times New Roman" w:hAnsi="Times New Roman" w:eastAsia="宋体" w:cs="Times New Roman"/>
                <w:szCs w:val="24"/>
              </w:rPr>
            </w:pPr>
            <w:r>
              <w:rPr>
                <w:rFonts w:hint="eastAsia" w:ascii="宋体" w:hAnsi="宋体" w:eastAsia="宋体" w:cs="宋体"/>
                <w:szCs w:val="24"/>
              </w:rPr>
              <w:t>②</w:t>
            </w:r>
            <w:r>
              <w:rPr>
                <w:rFonts w:hint="eastAsia" w:ascii="Times New Roman" w:hAnsi="Times New Roman" w:cs="Times New Roman"/>
                <w:szCs w:val="24"/>
              </w:rPr>
              <w:t>初</w:t>
            </w:r>
            <w:r>
              <w:rPr>
                <w:rFonts w:ascii="Times New Roman" w:hAnsi="Times New Roman" w:cs="Times New Roman"/>
                <w:szCs w:val="24"/>
              </w:rPr>
              <w:t>中食堂</w:t>
            </w:r>
            <w:r>
              <w:rPr>
                <w:rFonts w:hint="eastAsia" w:ascii="Times New Roman" w:hAnsi="Times New Roman" w:cs="Times New Roman"/>
                <w:szCs w:val="24"/>
              </w:rPr>
              <w:t>及教职工餐厅</w:t>
            </w:r>
          </w:p>
          <w:p>
            <w:pPr>
              <w:spacing w:line="360" w:lineRule="auto"/>
              <w:ind w:firstLine="480" w:firstLineChars="200"/>
              <w:rPr>
                <w:rFonts w:ascii="Times New Roman" w:hAnsi="Times New Roman" w:cs="Times New Roman"/>
                <w:szCs w:val="21"/>
              </w:rPr>
            </w:pPr>
            <w:r>
              <w:rPr>
                <w:rFonts w:hint="eastAsia" w:ascii="Times New Roman" w:hAnsi="Times New Roman" w:cs="Times New Roman"/>
                <w:szCs w:val="21"/>
              </w:rPr>
              <w:t>根据建设单位提供的资料，中学食堂与教职工食堂位于综合楼二层，共用一个烹调区，</w:t>
            </w:r>
            <w:r>
              <w:rPr>
                <w:rFonts w:ascii="Times New Roman" w:hAnsi="Times New Roman" w:cs="Times New Roman"/>
                <w:szCs w:val="21"/>
              </w:rPr>
              <w:t>设计最大就餐人数为1070人（</w:t>
            </w:r>
            <w:r>
              <w:rPr>
                <w:rFonts w:hint="eastAsia" w:ascii="Times New Roman" w:hAnsi="Times New Roman" w:cs="Times New Roman"/>
                <w:szCs w:val="21"/>
              </w:rPr>
              <w:t>初中</w:t>
            </w:r>
            <w:r>
              <w:rPr>
                <w:rFonts w:ascii="Times New Roman" w:hAnsi="Times New Roman" w:cs="Times New Roman"/>
                <w:szCs w:val="21"/>
              </w:rPr>
              <w:t>学生900人、教职工</w:t>
            </w:r>
            <w:r>
              <w:rPr>
                <w:rFonts w:hint="eastAsia" w:ascii="Times New Roman" w:hAnsi="Times New Roman" w:cs="Times New Roman"/>
                <w:szCs w:val="21"/>
              </w:rPr>
              <w:t>170</w:t>
            </w:r>
            <w:r>
              <w:rPr>
                <w:rFonts w:ascii="Times New Roman" w:hAnsi="Times New Roman" w:cs="Times New Roman"/>
                <w:szCs w:val="21"/>
              </w:rPr>
              <w:t>人）</w:t>
            </w:r>
            <w:r>
              <w:rPr>
                <w:rFonts w:hint="eastAsia" w:ascii="Times New Roman" w:hAnsi="Times New Roman" w:cs="Times New Roman"/>
                <w:szCs w:val="21"/>
              </w:rPr>
              <w:t>其中初中部就餐</w:t>
            </w:r>
            <w:r>
              <w:rPr>
                <w:rFonts w:ascii="Times New Roman" w:hAnsi="Times New Roman" w:cs="Times New Roman"/>
                <w:szCs w:val="21"/>
              </w:rPr>
              <w:t>，</w:t>
            </w:r>
            <w:r>
              <w:rPr>
                <w:rFonts w:hint="eastAsia" w:ascii="Times New Roman" w:hAnsi="Times New Roman" w:cs="Times New Roman"/>
                <w:szCs w:val="21"/>
              </w:rPr>
              <w:t>烹调区</w:t>
            </w:r>
            <w:r>
              <w:rPr>
                <w:rFonts w:ascii="Times New Roman" w:hAnsi="Times New Roman" w:cs="Times New Roman"/>
                <w:szCs w:val="21"/>
              </w:rPr>
              <w:t>拟建灶台数为6个，</w:t>
            </w:r>
            <w:r>
              <w:rPr>
                <w:rFonts w:ascii="Times New Roman" w:hAnsi="Times New Roman" w:cs="Times New Roman"/>
                <w:kern w:val="0"/>
              </w:rPr>
              <w:t>每个灶头风量4000m</w:t>
            </w:r>
            <w:r>
              <w:rPr>
                <w:rFonts w:ascii="Times New Roman" w:hAnsi="Times New Roman" w:cs="Times New Roman"/>
                <w:kern w:val="0"/>
                <w:vertAlign w:val="superscript"/>
              </w:rPr>
              <w:t>3</w:t>
            </w:r>
            <w:r>
              <w:rPr>
                <w:rFonts w:ascii="Times New Roman" w:hAnsi="Times New Roman" w:cs="Times New Roman"/>
                <w:kern w:val="0"/>
              </w:rPr>
              <w:t>/h</w:t>
            </w:r>
            <w:r>
              <w:rPr>
                <w:rFonts w:ascii="Times New Roman" w:hAnsi="Times New Roman" w:cs="Times New Roman"/>
                <w:szCs w:val="21"/>
              </w:rPr>
              <w:t>。每台灶日工作时间约5h。根据《饮食业油烟排放标准》（GB18483-2001）表1规模划分为大型。据调查居民人均日食用油用量约为25g/人·d，则食堂总耗油量分别为26.75kg/d（</w:t>
            </w:r>
            <w:r>
              <w:rPr>
                <w:rFonts w:hint="eastAsia" w:ascii="Times New Roman" w:hAnsi="Times New Roman" w:cs="Times New Roman"/>
                <w:szCs w:val="21"/>
              </w:rPr>
              <w:t>5</w:t>
            </w:r>
            <w:r>
              <w:rPr>
                <w:rFonts w:ascii="Times New Roman" w:hAnsi="Times New Roman" w:cs="Times New Roman"/>
                <w:szCs w:val="21"/>
              </w:rPr>
              <w:t>350kg/a），一般油烟挥发量约占总耗油量的3%，</w:t>
            </w:r>
            <w:r>
              <w:rPr>
                <w:rFonts w:ascii="Times New Roman" w:hAnsi="Times New Roman" w:cs="Times New Roman"/>
                <w:kern w:val="0"/>
              </w:rPr>
              <w:t>则餐饮最大油烟量产生分别为0.8025kg/d（160.5</w:t>
            </w:r>
            <w:r>
              <w:rPr>
                <w:rFonts w:ascii="Times New Roman" w:hAnsi="Times New Roman" w:cs="Times New Roman"/>
                <w:szCs w:val="21"/>
              </w:rPr>
              <w:t>kg/a</w:t>
            </w:r>
            <w:r>
              <w:rPr>
                <w:rFonts w:ascii="Times New Roman" w:hAnsi="Times New Roman" w:cs="Times New Roman"/>
                <w:kern w:val="0"/>
              </w:rPr>
              <w:t>）</w:t>
            </w:r>
            <w:r>
              <w:rPr>
                <w:rFonts w:ascii="Times New Roman" w:hAnsi="Times New Roman" w:cs="Times New Roman"/>
                <w:szCs w:val="24"/>
              </w:rPr>
              <w:t>。</w:t>
            </w:r>
            <w:r>
              <w:rPr>
                <w:rFonts w:ascii="Times New Roman" w:hAnsi="Times New Roman" w:cs="Times New Roman"/>
                <w:szCs w:val="21"/>
              </w:rPr>
              <w:t>安装油烟净化装置（其油烟净化率为85%）后，则油烟排放量约为0.1204</w:t>
            </w:r>
            <w:r>
              <w:rPr>
                <w:rFonts w:ascii="Times New Roman" w:hAnsi="Times New Roman" w:cs="Times New Roman"/>
                <w:kern w:val="0"/>
              </w:rPr>
              <w:t>kg/d</w:t>
            </w:r>
            <w:r>
              <w:rPr>
                <w:rFonts w:ascii="Times New Roman" w:hAnsi="Times New Roman" w:cs="Times New Roman"/>
                <w:szCs w:val="21"/>
              </w:rPr>
              <w:t>（24.075kg/a），油烟排放浓度为1.003mg/</w:t>
            </w:r>
            <w:r>
              <w:rPr>
                <w:rFonts w:ascii="Times New Roman" w:hAnsi="Times New Roman" w:cs="Times New Roman"/>
                <w:szCs w:val="24"/>
              </w:rPr>
              <w:t>m</w:t>
            </w:r>
            <w:r>
              <w:rPr>
                <w:rFonts w:ascii="Times New Roman" w:hAnsi="Times New Roman" w:cs="Times New Roman"/>
                <w:szCs w:val="24"/>
                <w:vertAlign w:val="superscript"/>
              </w:rPr>
              <w:t>3</w:t>
            </w:r>
            <w:r>
              <w:rPr>
                <w:rFonts w:ascii="Times New Roman" w:hAnsi="Times New Roman" w:cs="Times New Roman"/>
                <w:szCs w:val="24"/>
              </w:rPr>
              <w:t>。</w:t>
            </w:r>
          </w:p>
          <w:p>
            <w:pPr>
              <w:spacing w:line="360" w:lineRule="auto"/>
              <w:ind w:firstLine="480" w:firstLineChars="200"/>
              <w:rPr>
                <w:rFonts w:ascii="Times New Roman" w:hAnsi="Times New Roman" w:eastAsia="宋体" w:cs="Times New Roman"/>
              </w:rPr>
            </w:pPr>
            <w:r>
              <w:rPr>
                <w:rFonts w:ascii="Times New Roman" w:hAnsi="Times New Roman" w:cs="Times New Roman"/>
                <w:szCs w:val="24"/>
              </w:rPr>
              <w:t>综上所述，本项目食堂油烟废气产排统计情况详见下表。</w:t>
            </w:r>
          </w:p>
          <w:p>
            <w:pPr>
              <w:spacing w:line="360" w:lineRule="auto"/>
              <w:jc w:val="center"/>
              <w:rPr>
                <w:rFonts w:ascii="Times New Roman" w:hAnsi="Times New Roman" w:cs="Times New Roman"/>
                <w:b/>
                <w:bCs/>
              </w:rPr>
            </w:pPr>
            <w:r>
              <w:rPr>
                <w:rFonts w:ascii="Times New Roman" w:hAnsi="Times New Roman" w:cs="Times New Roman"/>
                <w:b/>
                <w:bCs/>
              </w:rPr>
              <w:t>表5-10  食堂食用油消耗和油烟废气产生情况</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785"/>
              <w:gridCol w:w="746"/>
              <w:gridCol w:w="906"/>
              <w:gridCol w:w="937"/>
              <w:gridCol w:w="797"/>
              <w:gridCol w:w="1150"/>
              <w:gridCol w:w="694"/>
              <w:gridCol w:w="1156"/>
              <w:gridCol w:w="1135"/>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36" w:type="dxa"/>
                  <w:tcBorders>
                    <w:bottom w:val="single" w:color="auto" w:sz="12" w:space="0"/>
                  </w:tcBorders>
                  <w:tcMar>
                    <w:top w:w="15" w:type="dxa"/>
                    <w:left w:w="15" w:type="dxa"/>
                    <w:bottom w:w="0" w:type="dxa"/>
                    <w:right w:w="15" w:type="dxa"/>
                  </w:tcMar>
                  <w:vAlign w:val="center"/>
                </w:tcPr>
                <w:p>
                  <w:pPr>
                    <w:pStyle w:val="33"/>
                    <w:spacing w:before="0" w:after="0" w:line="240" w:lineRule="auto"/>
                    <w:rPr>
                      <w:rFonts w:ascii="Times New Roman" w:hAnsi="Times New Roman"/>
                      <w:b/>
                      <w:bCs/>
                      <w:szCs w:val="21"/>
                    </w:rPr>
                  </w:pPr>
                  <w:r>
                    <w:rPr>
                      <w:rFonts w:ascii="Times New Roman" w:hAnsi="Times New Roman"/>
                      <w:b/>
                      <w:bCs/>
                      <w:szCs w:val="21"/>
                    </w:rPr>
                    <w:t>场所</w:t>
                  </w:r>
                </w:p>
              </w:tc>
              <w:tc>
                <w:tcPr>
                  <w:tcW w:w="832" w:type="dxa"/>
                  <w:tcBorders>
                    <w:bottom w:val="single" w:color="auto" w:sz="12" w:space="0"/>
                  </w:tcBorders>
                  <w:vAlign w:val="center"/>
                </w:tcPr>
                <w:p>
                  <w:pPr>
                    <w:pStyle w:val="33"/>
                    <w:spacing w:before="0" w:after="0" w:line="240" w:lineRule="auto"/>
                    <w:rPr>
                      <w:rFonts w:ascii="Times New Roman" w:hAnsi="Times New Roman"/>
                      <w:b/>
                      <w:bCs/>
                      <w:szCs w:val="21"/>
                    </w:rPr>
                  </w:pPr>
                  <w:r>
                    <w:rPr>
                      <w:rFonts w:hint="eastAsia" w:ascii="Times New Roman" w:hAnsi="Times New Roman"/>
                      <w:b/>
                      <w:bCs/>
                      <w:szCs w:val="21"/>
                    </w:rPr>
                    <w:t>人数</w:t>
                  </w:r>
                </w:p>
              </w:tc>
              <w:tc>
                <w:tcPr>
                  <w:tcW w:w="985" w:type="dxa"/>
                  <w:tcBorders>
                    <w:bottom w:val="single" w:color="auto" w:sz="12" w:space="0"/>
                  </w:tcBorders>
                  <w:tcMar>
                    <w:top w:w="15" w:type="dxa"/>
                    <w:left w:w="15" w:type="dxa"/>
                    <w:bottom w:w="0" w:type="dxa"/>
                    <w:right w:w="15" w:type="dxa"/>
                  </w:tcMar>
                  <w:vAlign w:val="center"/>
                </w:tcPr>
                <w:p>
                  <w:pPr>
                    <w:pStyle w:val="33"/>
                    <w:spacing w:before="0" w:after="0" w:line="240" w:lineRule="auto"/>
                    <w:rPr>
                      <w:rFonts w:ascii="Times New Roman" w:hAnsi="Times New Roman"/>
                      <w:b/>
                      <w:bCs/>
                      <w:szCs w:val="21"/>
                    </w:rPr>
                  </w:pPr>
                  <w:r>
                    <w:rPr>
                      <w:rFonts w:ascii="Times New Roman" w:hAnsi="Times New Roman"/>
                      <w:b/>
                      <w:bCs/>
                      <w:szCs w:val="21"/>
                    </w:rPr>
                    <w:t>用油指标</w:t>
                  </w:r>
                </w:p>
                <w:p>
                  <w:pPr>
                    <w:pStyle w:val="33"/>
                    <w:spacing w:before="0" w:after="0" w:line="240" w:lineRule="auto"/>
                    <w:rPr>
                      <w:rFonts w:ascii="Times New Roman" w:hAnsi="Times New Roman"/>
                      <w:b/>
                      <w:bCs/>
                      <w:szCs w:val="21"/>
                    </w:rPr>
                  </w:pPr>
                  <w:r>
                    <w:rPr>
                      <w:rFonts w:ascii="Times New Roman" w:hAnsi="Times New Roman"/>
                      <w:b/>
                      <w:bCs/>
                      <w:szCs w:val="21"/>
                    </w:rPr>
                    <w:t>（g/人·d）</w:t>
                  </w:r>
                </w:p>
              </w:tc>
              <w:tc>
                <w:tcPr>
                  <w:tcW w:w="965" w:type="dxa"/>
                  <w:tcBorders>
                    <w:bottom w:val="single" w:color="auto" w:sz="12" w:space="0"/>
                  </w:tcBorders>
                  <w:tcMar>
                    <w:top w:w="15" w:type="dxa"/>
                    <w:left w:w="15" w:type="dxa"/>
                    <w:bottom w:w="0" w:type="dxa"/>
                    <w:right w:w="15" w:type="dxa"/>
                  </w:tcMar>
                  <w:vAlign w:val="center"/>
                </w:tcPr>
                <w:p>
                  <w:pPr>
                    <w:pStyle w:val="33"/>
                    <w:spacing w:before="0" w:after="0" w:line="240" w:lineRule="auto"/>
                    <w:rPr>
                      <w:rFonts w:ascii="Times New Roman" w:hAnsi="Times New Roman"/>
                      <w:b/>
                      <w:bCs/>
                      <w:szCs w:val="21"/>
                    </w:rPr>
                  </w:pPr>
                  <w:r>
                    <w:rPr>
                      <w:rFonts w:ascii="Times New Roman" w:hAnsi="Times New Roman"/>
                      <w:b/>
                      <w:bCs/>
                      <w:szCs w:val="21"/>
                    </w:rPr>
                    <w:t>耗油量</w:t>
                  </w:r>
                </w:p>
                <w:p>
                  <w:pPr>
                    <w:pStyle w:val="33"/>
                    <w:spacing w:before="0" w:after="0" w:line="240" w:lineRule="auto"/>
                    <w:rPr>
                      <w:rFonts w:ascii="Times New Roman" w:hAnsi="Times New Roman"/>
                      <w:b/>
                      <w:bCs/>
                      <w:szCs w:val="21"/>
                    </w:rPr>
                  </w:pPr>
                  <w:r>
                    <w:rPr>
                      <w:rFonts w:ascii="Times New Roman" w:hAnsi="Times New Roman"/>
                      <w:b/>
                      <w:bCs/>
                      <w:szCs w:val="21"/>
                    </w:rPr>
                    <w:t>（kg/a）</w:t>
                  </w:r>
                </w:p>
              </w:tc>
              <w:tc>
                <w:tcPr>
                  <w:tcW w:w="933" w:type="dxa"/>
                  <w:tcBorders>
                    <w:bottom w:val="single" w:color="auto" w:sz="12" w:space="0"/>
                  </w:tcBorders>
                  <w:tcMar>
                    <w:top w:w="15" w:type="dxa"/>
                    <w:left w:w="15" w:type="dxa"/>
                    <w:bottom w:w="0" w:type="dxa"/>
                    <w:right w:w="15" w:type="dxa"/>
                  </w:tcMar>
                  <w:vAlign w:val="center"/>
                </w:tcPr>
                <w:p>
                  <w:pPr>
                    <w:pStyle w:val="33"/>
                    <w:spacing w:before="0" w:after="0" w:line="240" w:lineRule="auto"/>
                    <w:rPr>
                      <w:rFonts w:ascii="Times New Roman" w:hAnsi="Times New Roman"/>
                      <w:b/>
                      <w:bCs/>
                      <w:szCs w:val="21"/>
                    </w:rPr>
                  </w:pPr>
                  <w:r>
                    <w:rPr>
                      <w:rFonts w:ascii="Times New Roman" w:hAnsi="Times New Roman"/>
                      <w:b/>
                      <w:bCs/>
                      <w:szCs w:val="21"/>
                    </w:rPr>
                    <w:t>油烟挥发系数</w:t>
                  </w:r>
                </w:p>
              </w:tc>
              <w:tc>
                <w:tcPr>
                  <w:tcW w:w="1241" w:type="dxa"/>
                  <w:tcBorders>
                    <w:bottom w:val="single" w:color="auto" w:sz="12" w:space="0"/>
                  </w:tcBorders>
                  <w:vAlign w:val="center"/>
                </w:tcPr>
                <w:p>
                  <w:pPr>
                    <w:pStyle w:val="33"/>
                    <w:spacing w:before="0" w:after="0" w:line="240" w:lineRule="auto"/>
                    <w:rPr>
                      <w:rFonts w:ascii="Times New Roman" w:hAnsi="Times New Roman"/>
                      <w:b/>
                      <w:bCs/>
                      <w:szCs w:val="21"/>
                    </w:rPr>
                  </w:pPr>
                  <w:r>
                    <w:rPr>
                      <w:rFonts w:ascii="Times New Roman" w:hAnsi="Times New Roman"/>
                      <w:b/>
                      <w:bCs/>
                      <w:szCs w:val="21"/>
                    </w:rPr>
                    <w:t>油烟产生量</w:t>
                  </w:r>
                </w:p>
                <w:p>
                  <w:pPr>
                    <w:pStyle w:val="33"/>
                    <w:spacing w:before="0" w:after="0" w:line="240" w:lineRule="auto"/>
                    <w:rPr>
                      <w:rFonts w:ascii="Times New Roman" w:hAnsi="Times New Roman"/>
                      <w:b/>
                      <w:bCs/>
                      <w:szCs w:val="21"/>
                    </w:rPr>
                  </w:pPr>
                  <w:r>
                    <w:rPr>
                      <w:rFonts w:ascii="Times New Roman" w:hAnsi="Times New Roman"/>
                      <w:b/>
                      <w:bCs/>
                      <w:szCs w:val="21"/>
                    </w:rPr>
                    <w:t>（kg/a）</w:t>
                  </w:r>
                </w:p>
              </w:tc>
              <w:tc>
                <w:tcPr>
                  <w:tcW w:w="776" w:type="dxa"/>
                  <w:tcBorders>
                    <w:bottom w:val="single" w:color="auto" w:sz="12" w:space="0"/>
                  </w:tcBorders>
                  <w:vAlign w:val="center"/>
                </w:tcPr>
                <w:p>
                  <w:pPr>
                    <w:pStyle w:val="33"/>
                    <w:spacing w:before="0" w:after="0" w:line="240" w:lineRule="auto"/>
                    <w:rPr>
                      <w:rFonts w:ascii="Times New Roman" w:hAnsi="Times New Roman"/>
                      <w:b/>
                      <w:bCs/>
                      <w:szCs w:val="21"/>
                    </w:rPr>
                  </w:pPr>
                  <w:r>
                    <w:rPr>
                      <w:rFonts w:ascii="Times New Roman" w:hAnsi="Times New Roman"/>
                      <w:b/>
                      <w:bCs/>
                      <w:szCs w:val="21"/>
                    </w:rPr>
                    <w:t>净化</w:t>
                  </w:r>
                </w:p>
                <w:p>
                  <w:pPr>
                    <w:pStyle w:val="33"/>
                    <w:spacing w:before="0" w:after="0" w:line="240" w:lineRule="auto"/>
                    <w:rPr>
                      <w:rFonts w:ascii="Times New Roman" w:hAnsi="Times New Roman"/>
                      <w:b/>
                      <w:bCs/>
                      <w:szCs w:val="21"/>
                    </w:rPr>
                  </w:pPr>
                  <w:r>
                    <w:rPr>
                      <w:rFonts w:ascii="Times New Roman" w:hAnsi="Times New Roman"/>
                      <w:b/>
                      <w:bCs/>
                      <w:szCs w:val="21"/>
                    </w:rPr>
                    <w:t>效率</w:t>
                  </w:r>
                </w:p>
              </w:tc>
              <w:tc>
                <w:tcPr>
                  <w:tcW w:w="1249" w:type="dxa"/>
                  <w:tcBorders>
                    <w:bottom w:val="single" w:color="auto" w:sz="12" w:space="0"/>
                  </w:tcBorders>
                  <w:vAlign w:val="center"/>
                </w:tcPr>
                <w:p>
                  <w:pPr>
                    <w:pStyle w:val="33"/>
                    <w:spacing w:before="0" w:after="0" w:line="240" w:lineRule="auto"/>
                    <w:rPr>
                      <w:rFonts w:ascii="Times New Roman" w:hAnsi="Times New Roman"/>
                      <w:b/>
                      <w:bCs/>
                      <w:szCs w:val="21"/>
                    </w:rPr>
                  </w:pPr>
                  <w:r>
                    <w:rPr>
                      <w:rFonts w:ascii="Times New Roman" w:hAnsi="Times New Roman"/>
                      <w:b/>
                      <w:bCs/>
                      <w:szCs w:val="21"/>
                    </w:rPr>
                    <w:t>油烟排放量</w:t>
                  </w:r>
                </w:p>
                <w:p>
                  <w:pPr>
                    <w:pStyle w:val="33"/>
                    <w:spacing w:before="0" w:after="0" w:line="240" w:lineRule="auto"/>
                    <w:rPr>
                      <w:rFonts w:ascii="Times New Roman" w:hAnsi="Times New Roman"/>
                      <w:b/>
                      <w:bCs/>
                      <w:szCs w:val="21"/>
                    </w:rPr>
                  </w:pPr>
                  <w:r>
                    <w:rPr>
                      <w:rFonts w:ascii="Times New Roman" w:hAnsi="Times New Roman"/>
                      <w:b/>
                      <w:bCs/>
                      <w:szCs w:val="21"/>
                    </w:rPr>
                    <w:t>（kg/a）</w:t>
                  </w:r>
                </w:p>
              </w:tc>
              <w:tc>
                <w:tcPr>
                  <w:tcW w:w="1169" w:type="dxa"/>
                  <w:tcBorders>
                    <w:bottom w:val="single" w:color="auto" w:sz="12" w:space="0"/>
                  </w:tcBorders>
                  <w:vAlign w:val="center"/>
                </w:tcPr>
                <w:p>
                  <w:pPr>
                    <w:pStyle w:val="33"/>
                    <w:spacing w:before="0" w:after="0" w:line="240" w:lineRule="auto"/>
                    <w:rPr>
                      <w:rFonts w:ascii="Times New Roman" w:hAnsi="Times New Roman"/>
                      <w:b/>
                      <w:bCs/>
                      <w:szCs w:val="21"/>
                    </w:rPr>
                  </w:pPr>
                  <w:r>
                    <w:rPr>
                      <w:rFonts w:ascii="Times New Roman" w:hAnsi="Times New Roman"/>
                      <w:b/>
                      <w:bCs/>
                      <w:szCs w:val="21"/>
                    </w:rPr>
                    <w:t>排放浓度</w:t>
                  </w:r>
                </w:p>
                <w:p>
                  <w:pPr>
                    <w:pStyle w:val="33"/>
                    <w:spacing w:before="0" w:after="0" w:line="240" w:lineRule="auto"/>
                    <w:rPr>
                      <w:rFonts w:ascii="Times New Roman" w:hAnsi="Times New Roman"/>
                      <w:b/>
                      <w:bCs/>
                      <w:szCs w:val="21"/>
                    </w:rPr>
                  </w:pPr>
                  <w:r>
                    <w:rPr>
                      <w:rFonts w:ascii="Times New Roman" w:hAnsi="Times New Roman"/>
                      <w:b/>
                      <w:bCs/>
                      <w:szCs w:val="21"/>
                    </w:rPr>
                    <w:t>（mg/m</w:t>
                  </w:r>
                  <w:r>
                    <w:rPr>
                      <w:rFonts w:ascii="Times New Roman" w:hAnsi="Times New Roman"/>
                      <w:b/>
                      <w:bCs/>
                      <w:szCs w:val="21"/>
                      <w:vertAlign w:val="superscript"/>
                    </w:rPr>
                    <w:t>3</w:t>
                  </w:r>
                  <w:r>
                    <w:rPr>
                      <w:rFonts w:ascii="Times New Roman" w:hAnsi="Times New Roman"/>
                      <w:b/>
                      <w:bCs/>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36" w:type="dxa"/>
                  <w:tcBorders>
                    <w:top w:val="single" w:color="auto" w:sz="12" w:space="0"/>
                    <w:tl2br w:val="nil"/>
                    <w:tr2bl w:val="nil"/>
                  </w:tcBorders>
                  <w:tcMar>
                    <w:top w:w="15" w:type="dxa"/>
                    <w:left w:w="15" w:type="dxa"/>
                    <w:bottom w:w="0" w:type="dxa"/>
                    <w:right w:w="15" w:type="dxa"/>
                  </w:tcMar>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初中</w:t>
                  </w:r>
                  <w:r>
                    <w:rPr>
                      <w:rFonts w:ascii="Times New Roman" w:hAnsi="Times New Roman" w:cs="Times New Roman"/>
                      <w:sz w:val="21"/>
                      <w:szCs w:val="21"/>
                    </w:rPr>
                    <w:t>食堂</w:t>
                  </w:r>
                  <w:r>
                    <w:rPr>
                      <w:rFonts w:hint="eastAsia" w:ascii="Times New Roman" w:hAnsi="Times New Roman" w:cs="Times New Roman"/>
                      <w:sz w:val="21"/>
                      <w:szCs w:val="21"/>
                    </w:rPr>
                    <w:t>及教职工餐厅</w:t>
                  </w:r>
                </w:p>
              </w:tc>
              <w:tc>
                <w:tcPr>
                  <w:tcW w:w="832" w:type="dxa"/>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107</w:t>
                  </w:r>
                  <w:r>
                    <w:rPr>
                      <w:rFonts w:hint="eastAsia" w:ascii="Times New Roman" w:hAnsi="Times New Roman" w:eastAsia="宋体" w:cs="Times New Roman"/>
                      <w:sz w:val="21"/>
                      <w:szCs w:val="21"/>
                    </w:rPr>
                    <w:t>0人</w:t>
                  </w:r>
                </w:p>
              </w:tc>
              <w:tc>
                <w:tcPr>
                  <w:tcW w:w="985" w:type="dxa"/>
                  <w:vMerge w:val="restart"/>
                  <w:tcBorders>
                    <w:top w:val="single" w:color="auto" w:sz="12" w:space="0"/>
                    <w:tl2br w:val="nil"/>
                    <w:tr2bl w:val="nil"/>
                  </w:tcBorders>
                  <w:tcMar>
                    <w:top w:w="15" w:type="dxa"/>
                    <w:left w:w="15" w:type="dxa"/>
                    <w:bottom w:w="0" w:type="dxa"/>
                    <w:right w:w="15"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25</w:t>
                  </w:r>
                </w:p>
              </w:tc>
              <w:tc>
                <w:tcPr>
                  <w:tcW w:w="965" w:type="dxa"/>
                  <w:tcBorders>
                    <w:top w:val="single" w:color="auto" w:sz="12" w:space="0"/>
                    <w:tl2br w:val="nil"/>
                    <w:tr2bl w:val="nil"/>
                  </w:tcBorders>
                  <w:tcMar>
                    <w:top w:w="15" w:type="dxa"/>
                    <w:left w:w="15" w:type="dxa"/>
                    <w:bottom w:w="0" w:type="dxa"/>
                    <w:right w:w="15" w:type="dxa"/>
                  </w:tcMar>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5350</w:t>
                  </w:r>
                </w:p>
              </w:tc>
              <w:tc>
                <w:tcPr>
                  <w:tcW w:w="933" w:type="dxa"/>
                  <w:vMerge w:val="restart"/>
                  <w:tcBorders>
                    <w:top w:val="single" w:color="auto" w:sz="12" w:space="0"/>
                    <w:tl2br w:val="nil"/>
                    <w:tr2bl w:val="nil"/>
                  </w:tcBorders>
                  <w:tcMar>
                    <w:top w:w="15" w:type="dxa"/>
                    <w:left w:w="15" w:type="dxa"/>
                    <w:bottom w:w="0" w:type="dxa"/>
                    <w:right w:w="15" w:type="dxa"/>
                  </w:tcMar>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w:t>
                  </w:r>
                </w:p>
              </w:tc>
              <w:tc>
                <w:tcPr>
                  <w:tcW w:w="1241" w:type="dxa"/>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160.5</w:t>
                  </w:r>
                </w:p>
              </w:tc>
              <w:tc>
                <w:tcPr>
                  <w:tcW w:w="776"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85%</w:t>
                  </w:r>
                </w:p>
              </w:tc>
              <w:tc>
                <w:tcPr>
                  <w:tcW w:w="1249" w:type="dxa"/>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24.075</w:t>
                  </w:r>
                </w:p>
              </w:tc>
              <w:tc>
                <w:tcPr>
                  <w:tcW w:w="1169" w:type="dxa"/>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1.003</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936" w:type="dxa"/>
                  <w:tcBorders>
                    <w:tl2br w:val="nil"/>
                    <w:tr2bl w:val="nil"/>
                  </w:tcBorders>
                  <w:tcMar>
                    <w:top w:w="15" w:type="dxa"/>
                    <w:left w:w="15" w:type="dxa"/>
                    <w:bottom w:w="0" w:type="dxa"/>
                    <w:right w:w="15" w:type="dxa"/>
                  </w:tcMar>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小学</w:t>
                  </w:r>
                  <w:r>
                    <w:rPr>
                      <w:rFonts w:ascii="Times New Roman" w:hAnsi="Times New Roman" w:cs="Times New Roman"/>
                      <w:sz w:val="21"/>
                      <w:szCs w:val="21"/>
                    </w:rPr>
                    <w:t>食堂</w:t>
                  </w:r>
                </w:p>
              </w:tc>
              <w:tc>
                <w:tcPr>
                  <w:tcW w:w="832"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620</w:t>
                  </w:r>
                  <w:r>
                    <w:rPr>
                      <w:rFonts w:hint="eastAsia" w:ascii="Times New Roman" w:hAnsi="Times New Roman" w:cs="Times New Roman"/>
                      <w:sz w:val="21"/>
                      <w:szCs w:val="21"/>
                    </w:rPr>
                    <w:t>人</w:t>
                  </w:r>
                </w:p>
              </w:tc>
              <w:tc>
                <w:tcPr>
                  <w:tcW w:w="985" w:type="dxa"/>
                  <w:vMerge w:val="continue"/>
                  <w:tcBorders>
                    <w:tl2br w:val="nil"/>
                    <w:tr2bl w:val="nil"/>
                  </w:tcBorders>
                  <w:tcMar>
                    <w:top w:w="15" w:type="dxa"/>
                    <w:left w:w="15" w:type="dxa"/>
                    <w:bottom w:w="0" w:type="dxa"/>
                    <w:right w:w="15" w:type="dxa"/>
                  </w:tcMar>
                  <w:vAlign w:val="center"/>
                </w:tcPr>
                <w:p>
                  <w:pPr>
                    <w:spacing w:line="240" w:lineRule="auto"/>
                    <w:jc w:val="center"/>
                    <w:rPr>
                      <w:rFonts w:ascii="Times New Roman" w:hAnsi="Times New Roman" w:cs="Times New Roman"/>
                      <w:sz w:val="21"/>
                      <w:szCs w:val="21"/>
                    </w:rPr>
                  </w:pPr>
                </w:p>
              </w:tc>
              <w:tc>
                <w:tcPr>
                  <w:tcW w:w="965" w:type="dxa"/>
                  <w:tcBorders>
                    <w:tl2br w:val="nil"/>
                    <w:tr2bl w:val="nil"/>
                  </w:tcBorders>
                  <w:tcMar>
                    <w:top w:w="15" w:type="dxa"/>
                    <w:left w:w="15" w:type="dxa"/>
                    <w:bottom w:w="0" w:type="dxa"/>
                    <w:right w:w="15" w:type="dxa"/>
                  </w:tcMar>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8100</w:t>
                  </w:r>
                </w:p>
              </w:tc>
              <w:tc>
                <w:tcPr>
                  <w:tcW w:w="933" w:type="dxa"/>
                  <w:vMerge w:val="continue"/>
                  <w:tcBorders>
                    <w:tl2br w:val="nil"/>
                    <w:tr2bl w:val="nil"/>
                  </w:tcBorders>
                  <w:tcMar>
                    <w:top w:w="15" w:type="dxa"/>
                    <w:left w:w="15" w:type="dxa"/>
                    <w:bottom w:w="0" w:type="dxa"/>
                    <w:right w:w="15" w:type="dxa"/>
                  </w:tcMar>
                  <w:vAlign w:val="center"/>
                </w:tcPr>
                <w:p>
                  <w:pPr>
                    <w:spacing w:line="240" w:lineRule="auto"/>
                    <w:jc w:val="center"/>
                    <w:rPr>
                      <w:rFonts w:ascii="Times New Roman" w:hAnsi="Times New Roman" w:cs="Times New Roman"/>
                      <w:sz w:val="21"/>
                      <w:szCs w:val="21"/>
                    </w:rPr>
                  </w:pPr>
                </w:p>
              </w:tc>
              <w:tc>
                <w:tcPr>
                  <w:tcW w:w="1241"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43</w:t>
                  </w:r>
                </w:p>
              </w:tc>
              <w:tc>
                <w:tcPr>
                  <w:tcW w:w="7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85%</w:t>
                  </w:r>
                </w:p>
              </w:tc>
              <w:tc>
                <w:tcPr>
                  <w:tcW w:w="1249"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36.45</w:t>
                  </w:r>
                </w:p>
              </w:tc>
              <w:tc>
                <w:tcPr>
                  <w:tcW w:w="1169"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1.519</w:t>
                  </w:r>
                </w:p>
              </w:tc>
            </w:tr>
          </w:tbl>
          <w:p>
            <w:pPr>
              <w:pStyle w:val="32"/>
              <w:adjustRightInd/>
              <w:snapToGrid/>
              <w:ind w:firstLine="480" w:firstLineChars="0"/>
              <w:rPr>
                <w:rFonts w:ascii="Times New Roman" w:hAnsi="Times New Roman" w:cs="Times New Roman"/>
                <w:bCs/>
              </w:rPr>
            </w:pPr>
            <w:r>
              <w:rPr>
                <w:rFonts w:ascii="Times New Roman" w:hAnsi="Times New Roman" w:cs="Times New Roman"/>
                <w:bCs/>
              </w:rPr>
              <w:t>（</w:t>
            </w:r>
            <w:r>
              <w:rPr>
                <w:rFonts w:hint="eastAsia" w:ascii="Times New Roman" w:hAnsi="Times New Roman" w:cs="Times New Roman"/>
                <w:bCs/>
              </w:rPr>
              <w:t>2</w:t>
            </w:r>
            <w:r>
              <w:rPr>
                <w:rFonts w:ascii="Times New Roman" w:hAnsi="Times New Roman" w:cs="Times New Roman"/>
                <w:bCs/>
              </w:rPr>
              <w:t>）实验室废气</w:t>
            </w:r>
          </w:p>
          <w:p>
            <w:pPr>
              <w:pStyle w:val="32"/>
              <w:adjustRightInd/>
              <w:snapToGrid/>
              <w:ind w:firstLine="480" w:firstLineChars="0"/>
              <w:rPr>
                <w:rFonts w:ascii="Times New Roman" w:hAnsi="Times New Roman" w:cs="Times New Roman"/>
                <w:bCs/>
                <w:u w:val="single"/>
              </w:rPr>
            </w:pPr>
            <w:r>
              <w:rPr>
                <w:rFonts w:ascii="Times New Roman" w:hAnsi="Times New Roman" w:cs="Times New Roman"/>
                <w:bCs/>
                <w:u w:val="single"/>
              </w:rPr>
              <w:t>学校设有物化生实验室，其中存在挥发性气体的主要为化学实验室，这些实验室在实验过程中使用的药品大多为常规化学药品，以酸碱盐为主，挥发性药品(酸碱废气)用量少，故挥发的实验废气产生量极微小。学校化学实验室存在挥发性药品，实验过程产生极少量废气。在使用挥发性药品的实验室应设置通风橱，同时做好排风机噪声防治工作，排风机安装在室内，加设消声器。酸碱废气经通风橱集中于一根专用竖井于屋顶排放，废气排放量很小，</w:t>
            </w:r>
            <w:r>
              <w:rPr>
                <w:rFonts w:ascii="Times New Roman" w:hAnsi="Times New Roman" w:cs="Times New Roman"/>
                <w:u w:val="single"/>
              </w:rPr>
              <w:t>为间歇式排放，且项目周边通风情况良好，对</w:t>
            </w:r>
            <w:r>
              <w:rPr>
                <w:rFonts w:ascii="Times New Roman" w:hAnsi="Times New Roman" w:cs="Times New Roman"/>
                <w:bCs/>
                <w:u w:val="single"/>
              </w:rPr>
              <w:t>外界影响不大。</w:t>
            </w:r>
          </w:p>
          <w:p>
            <w:pPr>
              <w:pStyle w:val="32"/>
              <w:adjustRightInd/>
              <w:snapToGrid/>
              <w:ind w:firstLine="480" w:firstLineChars="0"/>
              <w:rPr>
                <w:rFonts w:ascii="Times New Roman" w:hAnsi="Times New Roman" w:cs="Times New Roman"/>
                <w:bCs/>
              </w:rPr>
            </w:pPr>
            <w:r>
              <w:rPr>
                <w:rFonts w:ascii="Times New Roman" w:hAnsi="Times New Roman" w:cs="Times New Roman"/>
                <w:bCs/>
              </w:rPr>
              <w:t>（</w:t>
            </w:r>
            <w:r>
              <w:rPr>
                <w:rFonts w:hint="eastAsia" w:ascii="Times New Roman" w:hAnsi="Times New Roman" w:cs="Times New Roman"/>
                <w:bCs/>
              </w:rPr>
              <w:t>3</w:t>
            </w:r>
            <w:r>
              <w:rPr>
                <w:rFonts w:ascii="Times New Roman" w:hAnsi="Times New Roman" w:cs="Times New Roman"/>
                <w:bCs/>
              </w:rPr>
              <w:t>）地下车库废气</w:t>
            </w:r>
          </w:p>
          <w:p>
            <w:pPr>
              <w:pStyle w:val="32"/>
              <w:adjustRightInd/>
              <w:snapToGrid/>
              <w:ind w:firstLine="480" w:firstLineChars="0"/>
              <w:rPr>
                <w:rFonts w:ascii="Times New Roman" w:hAnsi="Times New Roman" w:eastAsia="宋体" w:cs="Times New Roman"/>
                <w:szCs w:val="24"/>
              </w:rPr>
            </w:pPr>
            <w:r>
              <w:rPr>
                <w:rFonts w:ascii="Times New Roman" w:hAnsi="Times New Roman" w:cs="Times New Roman"/>
                <w:bCs/>
              </w:rPr>
              <w:t>本项目建有地下停车场，地下停车位</w:t>
            </w:r>
            <w:r>
              <w:rPr>
                <w:rFonts w:hint="eastAsia" w:ascii="Times New Roman" w:hAnsi="Times New Roman" w:cs="Times New Roman"/>
                <w:bCs/>
              </w:rPr>
              <w:t>184</w:t>
            </w:r>
            <w:r>
              <w:rPr>
                <w:rFonts w:ascii="Times New Roman" w:hAnsi="Times New Roman" w:cs="Times New Roman"/>
                <w:szCs w:val="24"/>
              </w:rPr>
              <w:t>个，汽车尾气中所含主要污染物为</w:t>
            </w:r>
            <w:r>
              <w:rPr>
                <w:rFonts w:ascii="Times New Roman" w:hAnsi="Times New Roman" w:eastAsia="TimesNewRomanPSMT" w:cs="Times New Roman"/>
                <w:szCs w:val="24"/>
              </w:rPr>
              <w:t>CO</w:t>
            </w:r>
            <w:r>
              <w:rPr>
                <w:rFonts w:ascii="Times New Roman" w:hAnsi="Times New Roman" w:cs="Times New Roman"/>
                <w:szCs w:val="24"/>
              </w:rPr>
              <w:t>、</w:t>
            </w:r>
            <w:r>
              <w:rPr>
                <w:rFonts w:ascii="Times New Roman" w:hAnsi="Times New Roman" w:eastAsia="TimesNewRomanPSMT" w:cs="Times New Roman"/>
                <w:szCs w:val="24"/>
              </w:rPr>
              <w:t>NO</w:t>
            </w:r>
            <w:r>
              <w:rPr>
                <w:rFonts w:ascii="Times New Roman" w:hAnsi="Times New Roman" w:eastAsia="TimesNewRomanPSMT" w:cs="Times New Roman"/>
                <w:sz w:val="16"/>
                <w:szCs w:val="16"/>
              </w:rPr>
              <w:t>2</w:t>
            </w:r>
            <w:r>
              <w:rPr>
                <w:rFonts w:ascii="Times New Roman" w:hAnsi="Times New Roman" w:cs="Times New Roman"/>
                <w:szCs w:val="24"/>
              </w:rPr>
              <w:t>、</w:t>
            </w:r>
            <w:r>
              <w:rPr>
                <w:rFonts w:ascii="Times New Roman" w:hAnsi="Times New Roman" w:eastAsia="TimesNewRomanPSMT" w:cs="Times New Roman"/>
                <w:szCs w:val="24"/>
              </w:rPr>
              <w:t>THC</w:t>
            </w:r>
            <w:r>
              <w:rPr>
                <w:rFonts w:ascii="Times New Roman" w:hAnsi="Times New Roman" w:cs="Times New Roman"/>
                <w:szCs w:val="24"/>
              </w:rPr>
              <w:t>。汽车尾气所含污染物浓度与汽车行驶条件有很大关系，汽车在空档时，</w:t>
            </w:r>
            <w:r>
              <w:rPr>
                <w:rFonts w:ascii="Times New Roman" w:hAnsi="Times New Roman" w:eastAsia="TimesNewRomanPSMT" w:cs="Times New Roman"/>
                <w:szCs w:val="24"/>
              </w:rPr>
              <w:t>THC</w:t>
            </w:r>
            <w:r>
              <w:rPr>
                <w:rFonts w:ascii="Times New Roman" w:hAnsi="Times New Roman" w:cs="Times New Roman"/>
                <w:szCs w:val="24"/>
              </w:rPr>
              <w:t>和</w:t>
            </w:r>
            <w:r>
              <w:rPr>
                <w:rFonts w:ascii="Times New Roman" w:hAnsi="Times New Roman" w:eastAsia="TimesNewRomanPSMT" w:cs="Times New Roman"/>
                <w:szCs w:val="24"/>
              </w:rPr>
              <w:t>CO</w:t>
            </w:r>
            <w:r>
              <w:rPr>
                <w:rFonts w:ascii="Times New Roman" w:hAnsi="Times New Roman" w:cs="Times New Roman"/>
                <w:szCs w:val="24"/>
              </w:rPr>
              <w:t>浓度最高，低速时</w:t>
            </w:r>
            <w:r>
              <w:rPr>
                <w:rFonts w:ascii="Times New Roman" w:hAnsi="Times New Roman" w:eastAsia="TimesNewRomanPSMT" w:cs="Times New Roman"/>
                <w:szCs w:val="24"/>
              </w:rPr>
              <w:t>THC</w:t>
            </w:r>
            <w:r>
              <w:rPr>
                <w:rFonts w:ascii="Times New Roman" w:hAnsi="Times New Roman" w:cs="Times New Roman"/>
                <w:szCs w:val="24"/>
              </w:rPr>
              <w:t>和</w:t>
            </w:r>
            <w:r>
              <w:rPr>
                <w:rFonts w:ascii="Times New Roman" w:hAnsi="Times New Roman" w:eastAsia="TimesNewRomanPSMT" w:cs="Times New Roman"/>
                <w:szCs w:val="24"/>
              </w:rPr>
              <w:t>CO</w:t>
            </w:r>
            <w:r>
              <w:rPr>
                <w:rFonts w:ascii="Times New Roman" w:hAnsi="Times New Roman" w:cs="Times New Roman"/>
                <w:szCs w:val="24"/>
              </w:rPr>
              <w:t>浓度较高，高速时</w:t>
            </w:r>
            <w:r>
              <w:rPr>
                <w:rFonts w:ascii="Times New Roman" w:hAnsi="Times New Roman" w:eastAsia="TimesNewRomanPSMT" w:cs="Times New Roman"/>
                <w:szCs w:val="24"/>
              </w:rPr>
              <w:t>NO</w:t>
            </w:r>
            <w:r>
              <w:rPr>
                <w:rFonts w:ascii="Times New Roman" w:hAnsi="Times New Roman" w:eastAsia="TimesNewRomanPSMT" w:cs="Times New Roman"/>
                <w:sz w:val="16"/>
                <w:szCs w:val="16"/>
              </w:rPr>
              <w:t>2</w:t>
            </w:r>
            <w:r>
              <w:rPr>
                <w:rFonts w:ascii="Times New Roman" w:hAnsi="Times New Roman" w:cs="Times New Roman"/>
                <w:szCs w:val="24"/>
              </w:rPr>
              <w:t>浓度最高，</w:t>
            </w:r>
            <w:r>
              <w:rPr>
                <w:rFonts w:ascii="Times New Roman" w:hAnsi="Times New Roman" w:eastAsia="TimesNewRomanPSMT" w:cs="Times New Roman"/>
                <w:szCs w:val="24"/>
              </w:rPr>
              <w:t>THC</w:t>
            </w:r>
            <w:r>
              <w:rPr>
                <w:rFonts w:ascii="Times New Roman" w:hAnsi="Times New Roman" w:cs="Times New Roman"/>
                <w:szCs w:val="24"/>
              </w:rPr>
              <w:t>和</w:t>
            </w:r>
            <w:r>
              <w:rPr>
                <w:rFonts w:ascii="Times New Roman" w:hAnsi="Times New Roman" w:eastAsia="TimesNewRomanPSMT" w:cs="Times New Roman"/>
                <w:szCs w:val="24"/>
              </w:rPr>
              <w:t>CO</w:t>
            </w:r>
            <w:r>
              <w:rPr>
                <w:rFonts w:ascii="Times New Roman" w:hAnsi="Times New Roman" w:cs="Times New Roman"/>
                <w:szCs w:val="24"/>
              </w:rPr>
              <w:t>浓度较低。本项目地下停车场以最大泊车位</w:t>
            </w:r>
            <w:r>
              <w:rPr>
                <w:rFonts w:hint="eastAsia" w:ascii="Times New Roman" w:hAnsi="Times New Roman" w:cs="Times New Roman"/>
                <w:szCs w:val="24"/>
              </w:rPr>
              <w:t>184</w:t>
            </w:r>
            <w:r>
              <w:rPr>
                <w:rFonts w:ascii="Times New Roman" w:hAnsi="Times New Roman" w:cs="Times New Roman"/>
                <w:szCs w:val="24"/>
              </w:rPr>
              <w:t>辆计，按80%车位计算，每个泊车位每天周转以4次计，每次周转以10</w:t>
            </w:r>
            <w:r>
              <w:rPr>
                <w:rFonts w:ascii="Times New Roman" w:hAnsi="Times New Roman" w:eastAsia="TimesNewRomanPSMT" w:cs="Times New Roman"/>
                <w:szCs w:val="24"/>
              </w:rPr>
              <w:t>min</w:t>
            </w:r>
            <w:r>
              <w:rPr>
                <w:rFonts w:ascii="Times New Roman" w:hAnsi="Times New Roman" w:cs="Times New Roman"/>
                <w:szCs w:val="24"/>
              </w:rPr>
              <w:t>计。参考《环境影响评价案例分析（上）》（国家环境保护总局环境工程评估中心，</w:t>
            </w:r>
            <w:r>
              <w:rPr>
                <w:rFonts w:ascii="Times New Roman" w:hAnsi="Times New Roman" w:eastAsia="TimesNewRomanPSMT" w:cs="Times New Roman"/>
                <w:szCs w:val="24"/>
              </w:rPr>
              <w:t>2005</w:t>
            </w:r>
            <w:r>
              <w:rPr>
                <w:rFonts w:ascii="Times New Roman" w:hAnsi="Times New Roman" w:cs="Times New Roman"/>
                <w:szCs w:val="24"/>
              </w:rPr>
              <w:t>），单车排放因子为</w:t>
            </w:r>
            <w:r>
              <w:rPr>
                <w:rFonts w:ascii="Times New Roman" w:hAnsi="Times New Roman" w:eastAsia="TimesNewRomanPSMT" w:cs="Times New Roman"/>
                <w:szCs w:val="24"/>
              </w:rPr>
              <w:t>NO</w:t>
            </w:r>
            <w:r>
              <w:rPr>
                <w:rFonts w:ascii="Times New Roman" w:hAnsi="Times New Roman" w:eastAsia="TimesNewRomanPSMT" w:cs="Times New Roman"/>
                <w:szCs w:val="24"/>
                <w:vertAlign w:val="subscript"/>
              </w:rPr>
              <w:t>2</w:t>
            </w:r>
            <w:r>
              <w:rPr>
                <w:rFonts w:ascii="Times New Roman" w:hAnsi="Times New Roman" w:cs="Times New Roman"/>
                <w:szCs w:val="24"/>
              </w:rPr>
              <w:t>：</w:t>
            </w:r>
            <w:r>
              <w:rPr>
                <w:rFonts w:ascii="Times New Roman" w:hAnsi="Times New Roman" w:eastAsia="TimesNewRomanPSMT" w:cs="Times New Roman"/>
                <w:szCs w:val="24"/>
              </w:rPr>
              <w:t>0.012g/min</w:t>
            </w:r>
            <w:r>
              <w:rPr>
                <w:rFonts w:ascii="Times New Roman" w:hAnsi="Times New Roman" w:cs="Times New Roman"/>
                <w:szCs w:val="24"/>
              </w:rPr>
              <w:t>；</w:t>
            </w:r>
            <w:r>
              <w:rPr>
                <w:rFonts w:ascii="Times New Roman" w:hAnsi="Times New Roman" w:eastAsia="TimesNewRomanPSMT" w:cs="Times New Roman"/>
                <w:szCs w:val="24"/>
              </w:rPr>
              <w:t>CO</w:t>
            </w:r>
            <w:r>
              <w:rPr>
                <w:rFonts w:ascii="Times New Roman" w:hAnsi="Times New Roman" w:cs="Times New Roman"/>
                <w:szCs w:val="24"/>
              </w:rPr>
              <w:t>：</w:t>
            </w:r>
            <w:r>
              <w:rPr>
                <w:rFonts w:ascii="Times New Roman" w:hAnsi="Times New Roman" w:eastAsia="TimesNewRomanPSMT" w:cs="Times New Roman"/>
                <w:szCs w:val="24"/>
              </w:rPr>
              <w:t>0.41g/min</w:t>
            </w:r>
            <w:r>
              <w:rPr>
                <w:rFonts w:ascii="Times New Roman" w:hAnsi="Times New Roman" w:cs="Times New Roman"/>
                <w:szCs w:val="24"/>
              </w:rPr>
              <w:t>；</w:t>
            </w:r>
            <w:r>
              <w:rPr>
                <w:rFonts w:ascii="Times New Roman" w:hAnsi="Times New Roman" w:eastAsia="TimesNewRomanPSMT" w:cs="Times New Roman"/>
                <w:szCs w:val="24"/>
              </w:rPr>
              <w:t>THC</w:t>
            </w:r>
            <w:r>
              <w:rPr>
                <w:rFonts w:ascii="Times New Roman" w:hAnsi="Times New Roman" w:cs="Times New Roman"/>
                <w:szCs w:val="24"/>
              </w:rPr>
              <w:t>：</w:t>
            </w:r>
            <w:r>
              <w:rPr>
                <w:rFonts w:ascii="Times New Roman" w:hAnsi="Times New Roman" w:eastAsia="TimesNewRomanPSMT" w:cs="Times New Roman"/>
                <w:szCs w:val="24"/>
              </w:rPr>
              <w:t>0.19g/min</w:t>
            </w:r>
            <w:r>
              <w:rPr>
                <w:rFonts w:ascii="Times New Roman" w:hAnsi="Times New Roman" w:cs="Times New Roman"/>
                <w:szCs w:val="24"/>
              </w:rPr>
              <w:t>。则可估算出本项目地下停车场汽车尾气污染物最大排放量为：</w:t>
            </w:r>
            <w:r>
              <w:rPr>
                <w:rFonts w:ascii="Times New Roman" w:hAnsi="Times New Roman" w:eastAsia="TimesNewRomanPSMT" w:cs="Times New Roman"/>
                <w:szCs w:val="24"/>
              </w:rPr>
              <w:t>NO</w:t>
            </w:r>
            <w:r>
              <w:rPr>
                <w:rFonts w:ascii="Times New Roman" w:hAnsi="Times New Roman" w:eastAsia="TimesNewRomanPSMT" w:cs="Times New Roman"/>
                <w:szCs w:val="24"/>
                <w:vertAlign w:val="subscript"/>
              </w:rPr>
              <w:t>2</w:t>
            </w:r>
            <w:r>
              <w:rPr>
                <w:rFonts w:ascii="Times New Roman" w:hAnsi="Times New Roman" w:cs="Times New Roman"/>
                <w:szCs w:val="24"/>
              </w:rPr>
              <w:t>：0.0</w:t>
            </w:r>
            <w:r>
              <w:rPr>
                <w:rFonts w:hint="eastAsia" w:ascii="Times New Roman" w:hAnsi="Times New Roman" w:cs="Times New Roman"/>
                <w:szCs w:val="24"/>
              </w:rPr>
              <w:t>71</w:t>
            </w:r>
            <w:r>
              <w:rPr>
                <w:rFonts w:ascii="Times New Roman" w:hAnsi="Times New Roman" w:cs="Times New Roman"/>
                <w:szCs w:val="24"/>
              </w:rPr>
              <w:t>kg</w:t>
            </w:r>
            <w:r>
              <w:rPr>
                <w:rFonts w:ascii="Times New Roman" w:hAnsi="Times New Roman" w:eastAsia="TimesNewRomanPSMT" w:cs="Times New Roman"/>
                <w:szCs w:val="24"/>
              </w:rPr>
              <w:t>/a</w:t>
            </w:r>
            <w:r>
              <w:rPr>
                <w:rFonts w:ascii="Times New Roman" w:hAnsi="Times New Roman" w:cs="Times New Roman"/>
                <w:szCs w:val="24"/>
              </w:rPr>
              <w:t>；</w:t>
            </w:r>
            <w:r>
              <w:rPr>
                <w:rFonts w:ascii="Times New Roman" w:hAnsi="Times New Roman" w:eastAsia="TimesNewRomanPSMT" w:cs="Times New Roman"/>
                <w:szCs w:val="24"/>
              </w:rPr>
              <w:t>CO</w:t>
            </w:r>
            <w:r>
              <w:rPr>
                <w:rFonts w:ascii="Times New Roman" w:hAnsi="Times New Roman" w:cs="Times New Roman"/>
                <w:szCs w:val="24"/>
              </w:rPr>
              <w:t>：</w:t>
            </w:r>
            <w:r>
              <w:rPr>
                <w:rFonts w:hint="eastAsia" w:ascii="Times New Roman" w:hAnsi="Times New Roman" w:eastAsia="宋体" w:cs="Times New Roman"/>
                <w:szCs w:val="24"/>
              </w:rPr>
              <w:t>2.41</w:t>
            </w:r>
            <w:r>
              <w:rPr>
                <w:rFonts w:ascii="Times New Roman" w:hAnsi="Times New Roman" w:eastAsia="宋体" w:cs="Times New Roman"/>
                <w:szCs w:val="24"/>
              </w:rPr>
              <w:t>kg</w:t>
            </w:r>
            <w:r>
              <w:rPr>
                <w:rFonts w:ascii="Times New Roman" w:hAnsi="Times New Roman" w:eastAsia="TimesNewRomanPSMT" w:cs="Times New Roman"/>
                <w:szCs w:val="24"/>
              </w:rPr>
              <w:t>/a</w:t>
            </w:r>
            <w:r>
              <w:rPr>
                <w:rFonts w:ascii="Times New Roman" w:hAnsi="Times New Roman" w:cs="Times New Roman"/>
                <w:szCs w:val="24"/>
              </w:rPr>
              <w:t>；</w:t>
            </w:r>
            <w:r>
              <w:rPr>
                <w:rFonts w:ascii="Times New Roman" w:hAnsi="Times New Roman" w:eastAsia="TimesNewRomanPSMT" w:cs="Times New Roman"/>
                <w:szCs w:val="24"/>
              </w:rPr>
              <w:t>THC</w:t>
            </w:r>
            <w:r>
              <w:rPr>
                <w:rFonts w:ascii="Times New Roman" w:hAnsi="Times New Roman" w:eastAsia="宋体" w:cs="Times New Roman"/>
                <w:szCs w:val="24"/>
              </w:rPr>
              <w:t>：</w:t>
            </w:r>
            <w:r>
              <w:rPr>
                <w:rFonts w:hint="eastAsia" w:ascii="Times New Roman" w:hAnsi="Times New Roman" w:eastAsia="宋体" w:cs="Times New Roman"/>
                <w:szCs w:val="24"/>
              </w:rPr>
              <w:t>1.398</w:t>
            </w:r>
            <w:r>
              <w:rPr>
                <w:rFonts w:ascii="Times New Roman" w:hAnsi="Times New Roman" w:eastAsia="宋体" w:cs="Times New Roman"/>
                <w:szCs w:val="24"/>
              </w:rPr>
              <w:t>kg</w:t>
            </w:r>
            <w:r>
              <w:rPr>
                <w:rFonts w:ascii="Times New Roman" w:hAnsi="Times New Roman" w:eastAsia="TimesNewRomanPSMT" w:cs="Times New Roman"/>
                <w:szCs w:val="24"/>
              </w:rPr>
              <w:t>/a</w:t>
            </w:r>
            <w:r>
              <w:rPr>
                <w:rFonts w:ascii="Times New Roman" w:hAnsi="Times New Roman" w:cs="Times New Roman"/>
                <w:szCs w:val="24"/>
              </w:rPr>
              <w:t>。地下停车场设有机械排风，废气集中收集后经风井排放，汽车尾气停留时间较短，浓度较低，对外环境影响极低。</w:t>
            </w:r>
          </w:p>
          <w:p>
            <w:pPr>
              <w:pStyle w:val="32"/>
              <w:adjustRightInd/>
              <w:snapToGrid/>
              <w:ind w:firstLine="480" w:firstLineChars="0"/>
              <w:rPr>
                <w:rFonts w:ascii="Times New Roman" w:hAnsi="Times New Roman" w:eastAsia="宋体" w:cs="Times New Roman"/>
                <w:bCs/>
              </w:rPr>
            </w:pPr>
            <w:r>
              <w:rPr>
                <w:rFonts w:ascii="Times New Roman" w:hAnsi="Times New Roman" w:cs="Times New Roman"/>
                <w:szCs w:val="24"/>
              </w:rPr>
              <w:t>（</w:t>
            </w:r>
            <w:r>
              <w:rPr>
                <w:rFonts w:hint="eastAsia" w:ascii="Times New Roman" w:hAnsi="Times New Roman" w:cs="Times New Roman"/>
                <w:szCs w:val="24"/>
              </w:rPr>
              <w:t>4</w:t>
            </w:r>
            <w:r>
              <w:rPr>
                <w:rFonts w:ascii="Times New Roman" w:hAnsi="Times New Roman" w:cs="Times New Roman"/>
                <w:szCs w:val="24"/>
              </w:rPr>
              <w:t>）</w:t>
            </w:r>
            <w:r>
              <w:rPr>
                <w:rFonts w:hint="eastAsia" w:ascii="Times New Roman" w:hAnsi="Times New Roman" w:cs="Times New Roman"/>
                <w:bCs/>
              </w:rPr>
              <w:t>污水处理站</w:t>
            </w:r>
            <w:r>
              <w:rPr>
                <w:rFonts w:ascii="Times New Roman" w:hAnsi="Times New Roman" w:cs="Times New Roman"/>
                <w:bCs/>
              </w:rPr>
              <w:t>臭气</w:t>
            </w:r>
          </w:p>
          <w:p>
            <w:pPr>
              <w:pStyle w:val="32"/>
              <w:adjustRightInd/>
              <w:snapToGrid/>
              <w:ind w:firstLine="480" w:firstLineChars="0"/>
              <w:rPr>
                <w:rFonts w:ascii="Times New Roman" w:hAnsi="Times New Roman" w:eastAsia="宋体" w:cs="Times New Roman"/>
                <w:szCs w:val="24"/>
              </w:rPr>
            </w:pPr>
            <w:r>
              <w:rPr>
                <w:rFonts w:ascii="Times New Roman" w:hAnsi="Times New Roman" w:cs="Times New Roman"/>
                <w:szCs w:val="24"/>
              </w:rPr>
              <w:t>本项目在项目区域内的西</w:t>
            </w:r>
            <w:r>
              <w:rPr>
                <w:rFonts w:hint="eastAsia" w:ascii="Times New Roman" w:hAnsi="Times New Roman" w:cs="Times New Roman"/>
                <w:szCs w:val="24"/>
              </w:rPr>
              <w:t>北</w:t>
            </w:r>
            <w:r>
              <w:rPr>
                <w:rFonts w:ascii="Times New Roman" w:hAnsi="Times New Roman" w:cs="Times New Roman"/>
                <w:szCs w:val="24"/>
              </w:rPr>
              <w:t>角设置了一个</w:t>
            </w:r>
            <w:r>
              <w:rPr>
                <w:rFonts w:hint="eastAsia" w:ascii="Times New Roman" w:hAnsi="Times New Roman" w:cs="Times New Roman"/>
                <w:szCs w:val="24"/>
              </w:rPr>
              <w:t>污水处理</w:t>
            </w:r>
            <w:r>
              <w:rPr>
                <w:rFonts w:ascii="Times New Roman" w:hAnsi="Times New Roman" w:cs="Times New Roman"/>
                <w:szCs w:val="24"/>
              </w:rPr>
              <w:t>站</w:t>
            </w:r>
            <w:r>
              <w:rPr>
                <w:rFonts w:hint="eastAsia" w:ascii="Times New Roman" w:hAnsi="Times New Roman" w:cs="Times New Roman"/>
                <w:szCs w:val="24"/>
              </w:rPr>
              <w:t>（3</w:t>
            </w:r>
            <w:r>
              <w:rPr>
                <w:rFonts w:ascii="Times New Roman" w:hAnsi="Times New Roman" w:cs="Times New Roman"/>
                <w:szCs w:val="24"/>
              </w:rPr>
              <w:t>00m</w:t>
            </w:r>
            <w:r>
              <w:rPr>
                <w:rFonts w:ascii="Times New Roman" w:hAnsi="Times New Roman" w:cs="Times New Roman"/>
                <w:szCs w:val="24"/>
                <w:vertAlign w:val="superscript"/>
              </w:rPr>
              <w:t>3</w:t>
            </w:r>
            <w:r>
              <w:rPr>
                <w:rFonts w:ascii="Times New Roman" w:hAnsi="Times New Roman" w:cs="Times New Roman"/>
                <w:szCs w:val="24"/>
              </w:rPr>
              <w:t>/d</w:t>
            </w:r>
            <w:r>
              <w:rPr>
                <w:rFonts w:hint="eastAsia" w:ascii="Times New Roman" w:hAnsi="Times New Roman" w:cs="Times New Roman"/>
                <w:szCs w:val="24"/>
              </w:rPr>
              <w:t>，半地埋式）</w:t>
            </w:r>
            <w:r>
              <w:rPr>
                <w:rFonts w:ascii="Times New Roman" w:hAnsi="Times New Roman" w:cs="Times New Roman"/>
                <w:szCs w:val="24"/>
              </w:rPr>
              <w:t>，详见附图。</w:t>
            </w:r>
          </w:p>
          <w:p>
            <w:pPr>
              <w:pStyle w:val="32"/>
              <w:adjustRightInd/>
              <w:snapToGrid/>
              <w:ind w:firstLine="480" w:firstLineChars="0"/>
              <w:rPr>
                <w:rFonts w:ascii="Times New Roman" w:hAnsi="Times New Roman" w:cs="Times New Roman"/>
                <w:szCs w:val="24"/>
              </w:rPr>
            </w:pPr>
            <w:r>
              <w:rPr>
                <w:rFonts w:hint="eastAsia" w:ascii="Times New Roman" w:hAnsi="Times New Roman" w:cs="Times New Roman"/>
                <w:szCs w:val="24"/>
              </w:rPr>
              <w:t>污水处理站会产生</w:t>
            </w:r>
            <w:r>
              <w:rPr>
                <w:rFonts w:ascii="Times New Roman" w:hAnsi="Times New Roman" w:cs="Times New Roman"/>
                <w:szCs w:val="24"/>
              </w:rPr>
              <w:t>臭气</w:t>
            </w:r>
            <w:r>
              <w:rPr>
                <w:rFonts w:hint="eastAsia" w:ascii="Times New Roman" w:hAnsi="Times New Roman" w:cs="Times New Roman"/>
                <w:szCs w:val="24"/>
              </w:rPr>
              <w:t>，</w:t>
            </w:r>
            <w:r>
              <w:rPr>
                <w:rFonts w:ascii="Times New Roman" w:hAnsi="Times New Roman" w:cs="Times New Roman"/>
                <w:szCs w:val="24"/>
              </w:rPr>
              <w:t>主要是氨气和硫化氢。根据美国EPA对城市污水处理厂恶臭污染物产生情况的研究，每去除1g的BOD</w:t>
            </w:r>
            <w:r>
              <w:rPr>
                <w:rFonts w:ascii="Times New Roman" w:hAnsi="Times New Roman" w:cs="Times New Roman"/>
                <w:szCs w:val="24"/>
                <w:vertAlign w:val="subscript"/>
              </w:rPr>
              <w:t>5</w:t>
            </w:r>
            <w:r>
              <w:rPr>
                <w:rFonts w:ascii="Times New Roman" w:hAnsi="Times New Roman" w:cs="Times New Roman"/>
                <w:szCs w:val="24"/>
              </w:rPr>
              <w:t>，可产生0.0031g的NH</w:t>
            </w:r>
            <w:r>
              <w:rPr>
                <w:rFonts w:ascii="Times New Roman" w:hAnsi="Times New Roman" w:cs="Times New Roman"/>
                <w:szCs w:val="24"/>
                <w:vertAlign w:val="subscript"/>
              </w:rPr>
              <w:t>3</w:t>
            </w:r>
            <w:r>
              <w:rPr>
                <w:rFonts w:ascii="Times New Roman" w:hAnsi="Times New Roman" w:cs="Times New Roman"/>
                <w:szCs w:val="24"/>
              </w:rPr>
              <w:t>、0.00012g的H</w:t>
            </w:r>
            <w:r>
              <w:rPr>
                <w:rFonts w:ascii="Times New Roman" w:hAnsi="Times New Roman" w:cs="Times New Roman"/>
                <w:szCs w:val="24"/>
                <w:vertAlign w:val="subscript"/>
              </w:rPr>
              <w:t>2</w:t>
            </w:r>
            <w:r>
              <w:rPr>
                <w:rFonts w:ascii="Times New Roman" w:hAnsi="Times New Roman" w:cs="Times New Roman"/>
                <w:szCs w:val="24"/>
              </w:rPr>
              <w:t>S。项目年处理BOD</w:t>
            </w:r>
            <w:r>
              <w:rPr>
                <w:rFonts w:ascii="Times New Roman" w:hAnsi="Times New Roman" w:cs="Times New Roman"/>
                <w:szCs w:val="24"/>
                <w:vertAlign w:val="subscript"/>
              </w:rPr>
              <w:t>5</w:t>
            </w:r>
            <w:r>
              <w:rPr>
                <w:rFonts w:ascii="Times New Roman" w:hAnsi="Times New Roman" w:cs="Times New Roman"/>
                <w:szCs w:val="24"/>
              </w:rPr>
              <w:t>约6.6618t，则NH</w:t>
            </w:r>
            <w:r>
              <w:rPr>
                <w:rFonts w:ascii="Times New Roman" w:hAnsi="Times New Roman" w:cs="Times New Roman"/>
                <w:szCs w:val="24"/>
                <w:vertAlign w:val="subscript"/>
              </w:rPr>
              <w:t>3</w:t>
            </w:r>
            <w:r>
              <w:rPr>
                <w:rFonts w:ascii="Times New Roman" w:hAnsi="Times New Roman" w:cs="Times New Roman"/>
                <w:szCs w:val="24"/>
              </w:rPr>
              <w:t>和H</w:t>
            </w:r>
            <w:r>
              <w:rPr>
                <w:rFonts w:ascii="Times New Roman" w:hAnsi="Times New Roman" w:cs="Times New Roman"/>
                <w:szCs w:val="24"/>
                <w:vertAlign w:val="subscript"/>
              </w:rPr>
              <w:t>2</w:t>
            </w:r>
            <w:r>
              <w:rPr>
                <w:rFonts w:ascii="Times New Roman" w:hAnsi="Times New Roman" w:cs="Times New Roman"/>
                <w:szCs w:val="24"/>
              </w:rPr>
              <w:t>S的产生量约为0.021t/a、0.0008t/a。</w:t>
            </w:r>
          </w:p>
          <w:p>
            <w:pPr>
              <w:pStyle w:val="32"/>
              <w:adjustRightInd/>
              <w:snapToGrid/>
              <w:ind w:firstLine="480" w:firstLineChars="0"/>
              <w:rPr>
                <w:rFonts w:ascii="Times New Roman" w:hAnsi="Times New Roman" w:cs="Times New Roman"/>
                <w:szCs w:val="24"/>
              </w:rPr>
            </w:pPr>
            <w:r>
              <w:rPr>
                <w:rFonts w:hint="eastAsia" w:ascii="Times New Roman" w:hAnsi="Times New Roman" w:cs="Times New Roman"/>
                <w:szCs w:val="24"/>
              </w:rPr>
              <w:t>污水处理站采用半地埋式，氨气及硫化氢产生量极少，通过定期投加除臭剂和周围绿化吸收，可有效减少臭气的影响。</w:t>
            </w:r>
          </w:p>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2.2.2</w:t>
            </w:r>
            <w:r>
              <w:rPr>
                <w:rFonts w:ascii="Times New Roman" w:hAnsi="Times New Roman" w:cs="Times New Roman"/>
                <w:szCs w:val="24"/>
              </w:rPr>
              <w:t>废水</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本项目营运期废水采取雨污分流措施，雨水经已建成的部分市政雨水管网或自然流入周边水体，考虑到本项目为学校建设项目，运营期主要为教学活动，故本次评价不对初期雨水进行分析。项目运营期废水主要为生活污水、食堂废水、实验室废水，考虑到本项目预计投入运营时间与管网铺设完成时间的不确定性，本次评价分别进行评价分析。</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（1）生活污水</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根据水平衡可知，项目生活污水由学生用水和教职工用水组成，则可知生活污水排放量约为</w:t>
            </w:r>
            <w:r>
              <w:rPr>
                <w:rFonts w:hint="eastAsia" w:ascii="Times New Roman" w:hAnsi="Times New Roman" w:cs="Times New Roman"/>
                <w:szCs w:val="24"/>
              </w:rPr>
              <w:t>28584</w:t>
            </w:r>
            <w:r>
              <w:rPr>
                <w:rFonts w:ascii="Times New Roman" w:hAnsi="Times New Roman" w:cs="Times New Roman"/>
                <w:szCs w:val="24"/>
              </w:rPr>
              <w:t>m</w:t>
            </w:r>
            <w:r>
              <w:rPr>
                <w:rFonts w:ascii="Times New Roman" w:hAnsi="Times New Roman" w:cs="Times New Roman"/>
                <w:szCs w:val="24"/>
                <w:vertAlign w:val="superscript"/>
              </w:rPr>
              <w:t>3</w:t>
            </w:r>
            <w:r>
              <w:rPr>
                <w:rFonts w:ascii="Times New Roman" w:hAnsi="Times New Roman" w:cs="Times New Roman"/>
                <w:szCs w:val="24"/>
              </w:rPr>
              <w:t>/a，此类废水中主要的污染因子为COD、BOD、氨氮、SS等。考虑到建设单位分设教学楼、宿舍等，故建设单位拟设计各处化粪池合计处理能力约为250</w:t>
            </w:r>
            <w:r>
              <w:rPr>
                <w:rFonts w:hint="eastAsia" w:ascii="Times New Roman" w:hAnsi="Times New Roman" w:cs="Times New Roman"/>
                <w:szCs w:val="24"/>
              </w:rPr>
              <w:t>m</w:t>
            </w:r>
            <w:r>
              <w:rPr>
                <w:rFonts w:hint="eastAsia" w:ascii="Times New Roman" w:hAnsi="Times New Roman" w:cs="Times New Roman"/>
                <w:szCs w:val="24"/>
                <w:vertAlign w:val="superscript"/>
              </w:rPr>
              <w:t>3</w:t>
            </w:r>
            <w:r>
              <w:rPr>
                <w:rFonts w:ascii="Times New Roman" w:hAnsi="Times New Roman" w:cs="Times New Roman"/>
                <w:szCs w:val="24"/>
              </w:rPr>
              <w:t>/d。</w:t>
            </w:r>
          </w:p>
          <w:p>
            <w:pPr>
              <w:pStyle w:val="32"/>
              <w:adjustRightInd/>
              <w:snapToGrid/>
              <w:ind w:firstLine="480" w:firstLineChars="0"/>
              <w:rPr>
                <w:rFonts w:ascii="Times New Roman" w:hAnsi="Times New Roman" w:cs="Times New Roman"/>
                <w:b/>
                <w:bCs/>
                <w:szCs w:val="24"/>
              </w:rPr>
            </w:pPr>
            <w:r>
              <w:rPr>
                <w:rFonts w:hint="eastAsia" w:ascii="Times New Roman" w:hAnsi="Times New Roman" w:cs="Times New Roman"/>
                <w:b/>
                <w:bCs/>
                <w:szCs w:val="24"/>
              </w:rPr>
              <w:t>处理措施及排放情况</w:t>
            </w:r>
          </w:p>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生活污水</w:t>
            </w:r>
            <w:r>
              <w:rPr>
                <w:rFonts w:ascii="Times New Roman" w:hAnsi="Times New Roman" w:cs="Times New Roman"/>
                <w:szCs w:val="24"/>
              </w:rPr>
              <w:t>通过化粪池处理后</w:t>
            </w:r>
            <w:r>
              <w:rPr>
                <w:rFonts w:hint="eastAsia" w:hAnsi="宋体" w:eastAsia="宋体" w:cs="宋体"/>
                <w:szCs w:val="24"/>
              </w:rPr>
              <w:t>①</w:t>
            </w:r>
            <w:r>
              <w:rPr>
                <w:rFonts w:ascii="Times New Roman" w:hAnsi="Times New Roman" w:cs="Times New Roman"/>
                <w:szCs w:val="24"/>
              </w:rPr>
              <w:t>在污水</w:t>
            </w:r>
            <w:r>
              <w:rPr>
                <w:rFonts w:hint="eastAsia" w:ascii="Times New Roman" w:hAnsi="Times New Roman" w:cs="Times New Roman"/>
                <w:szCs w:val="24"/>
              </w:rPr>
              <w:t>管网接通罗家坡污水处理厂</w:t>
            </w:r>
            <w:r>
              <w:rPr>
                <w:rFonts w:ascii="Times New Roman" w:hAnsi="Times New Roman" w:cs="Times New Roman"/>
                <w:szCs w:val="24"/>
              </w:rPr>
              <w:t>前先经</w:t>
            </w:r>
            <w:r>
              <w:rPr>
                <w:rFonts w:hint="eastAsia" w:ascii="Times New Roman" w:hAnsi="Times New Roman" w:cs="Times New Roman"/>
                <w:szCs w:val="24"/>
              </w:rPr>
              <w:t>自建污水处理站（MBR工艺）</w:t>
            </w:r>
            <w:r>
              <w:rPr>
                <w:rFonts w:ascii="Times New Roman" w:hAnsi="Times New Roman" w:cs="Times New Roman"/>
                <w:szCs w:val="24"/>
              </w:rPr>
              <w:t>处理</w:t>
            </w:r>
            <w:r>
              <w:rPr>
                <w:rFonts w:hint="eastAsia" w:ascii="Times New Roman" w:hAnsi="Times New Roman" w:cs="Times New Roman"/>
                <w:szCs w:val="24"/>
              </w:rPr>
              <w:t>达</w:t>
            </w:r>
            <w:r>
              <w:rPr>
                <w:rFonts w:ascii="Times New Roman" w:hAnsi="Times New Roman" w:cs="Times New Roman"/>
                <w:szCs w:val="24"/>
              </w:rPr>
              <w:t>《城镇污水处理厂污染物排放标准》（GB18918-2002）一级A标准后</w:t>
            </w:r>
            <w:r>
              <w:rPr>
                <w:rFonts w:hint="eastAsia" w:ascii="Times New Roman" w:hAnsi="Times New Roman" w:cs="Times New Roman"/>
                <w:szCs w:val="24"/>
              </w:rPr>
              <w:t>排至北港河</w:t>
            </w:r>
            <w:r>
              <w:rPr>
                <w:rFonts w:ascii="Times New Roman" w:hAnsi="Times New Roman" w:cs="Times New Roman"/>
                <w:szCs w:val="24"/>
              </w:rPr>
              <w:t>，最后进入</w:t>
            </w:r>
            <w:r>
              <w:rPr>
                <w:rFonts w:hint="eastAsia" w:ascii="Times New Roman" w:hAnsi="Times New Roman" w:cs="Times New Roman"/>
                <w:szCs w:val="24"/>
              </w:rPr>
              <w:t>南湖；</w:t>
            </w:r>
            <w:r>
              <w:rPr>
                <w:rFonts w:hint="eastAsia" w:hAnsi="宋体" w:eastAsia="宋体" w:cs="宋体"/>
                <w:szCs w:val="24"/>
              </w:rPr>
              <w:t>②</w:t>
            </w:r>
            <w:r>
              <w:rPr>
                <w:rFonts w:ascii="Times New Roman" w:hAnsi="Times New Roman" w:cs="Times New Roman"/>
                <w:szCs w:val="24"/>
              </w:rPr>
              <w:t>在污水</w:t>
            </w:r>
            <w:r>
              <w:rPr>
                <w:rFonts w:hint="eastAsia" w:ascii="Times New Roman" w:hAnsi="Times New Roman" w:cs="Times New Roman"/>
                <w:szCs w:val="24"/>
              </w:rPr>
              <w:t>管网接通罗家坡污水处理厂后</w:t>
            </w:r>
            <w:r>
              <w:rPr>
                <w:rFonts w:ascii="Times New Roman" w:hAnsi="Times New Roman" w:cs="Times New Roman"/>
                <w:szCs w:val="24"/>
              </w:rPr>
              <w:t>，经污水管网进入</w:t>
            </w:r>
            <w:r>
              <w:rPr>
                <w:rFonts w:hint="eastAsia" w:ascii="Times New Roman" w:hAnsi="Times New Roman" w:cs="Times New Roman"/>
                <w:szCs w:val="24"/>
              </w:rPr>
              <w:t>罗家坡污水</w:t>
            </w:r>
            <w:r>
              <w:rPr>
                <w:rFonts w:ascii="Times New Roman" w:hAnsi="Times New Roman" w:cs="Times New Roman"/>
                <w:szCs w:val="24"/>
              </w:rPr>
              <w:t>处理厂处理，达到《城镇污水处理厂污染物排放标准》（GB18918-2002）一级A标准后</w:t>
            </w:r>
            <w:r>
              <w:rPr>
                <w:rFonts w:hint="eastAsia" w:ascii="Times New Roman" w:hAnsi="Times New Roman" w:cs="Times New Roman"/>
                <w:szCs w:val="24"/>
              </w:rPr>
              <w:t>排至北港河，最终排至南湖</w:t>
            </w:r>
            <w:r>
              <w:rPr>
                <w:rFonts w:ascii="Times New Roman" w:hAnsi="Times New Roman" w:cs="Times New Roman"/>
                <w:szCs w:val="24"/>
              </w:rPr>
              <w:t>。</w:t>
            </w:r>
            <w:r>
              <w:rPr>
                <w:rFonts w:hint="eastAsia" w:ascii="Times New Roman" w:hAnsi="Times New Roman" w:cs="Times New Roman"/>
                <w:szCs w:val="24"/>
              </w:rPr>
              <w:t>（项目所在地市政污水管网已建好，目前污水管网正在与罗家坡污水处理厂接通。）</w:t>
            </w:r>
          </w:p>
          <w:p>
            <w:pPr>
              <w:pStyle w:val="8"/>
              <w:ind w:firstLine="0" w:firstLineChars="0"/>
              <w:jc w:val="center"/>
              <w:rPr>
                <w:rFonts w:ascii="Times New Roman" w:hAnsi="Times New Roman"/>
                <w:szCs w:val="24"/>
              </w:rPr>
            </w:pPr>
            <w:r>
              <w:rPr>
                <w:rFonts w:ascii="Times New Roman" w:hAnsi="Times New Roman"/>
                <w:b/>
                <w:bCs/>
                <w:szCs w:val="24"/>
              </w:rPr>
              <w:t>表5-11  各种污染指标浓度及</w:t>
            </w:r>
            <w:r>
              <w:rPr>
                <w:rFonts w:hint="eastAsia" w:ascii="Times New Roman" w:hAnsi="Times New Roman"/>
                <w:b/>
                <w:bCs/>
                <w:szCs w:val="24"/>
              </w:rPr>
              <w:t>产排情况</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1741"/>
              <w:gridCol w:w="990"/>
              <w:gridCol w:w="955"/>
              <w:gridCol w:w="1057"/>
              <w:gridCol w:w="1000"/>
              <w:gridCol w:w="10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961" w:type="pct"/>
                  <w:gridSpan w:val="2"/>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污染指标</w:t>
                  </w:r>
                </w:p>
              </w:tc>
              <w:tc>
                <w:tcPr>
                  <w:tcW w:w="596"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COD</w:t>
                  </w:r>
                  <w:r>
                    <w:rPr>
                      <w:rFonts w:ascii="Times New Roman" w:hAnsi="Times New Roman" w:cs="Times New Roman"/>
                      <w:b/>
                      <w:bCs/>
                      <w:sz w:val="21"/>
                      <w:szCs w:val="21"/>
                      <w:vertAlign w:val="subscript"/>
                    </w:rPr>
                    <w:t>Cr</w:t>
                  </w:r>
                </w:p>
              </w:tc>
              <w:tc>
                <w:tcPr>
                  <w:tcW w:w="575"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BOD</w:t>
                  </w:r>
                  <w:r>
                    <w:rPr>
                      <w:rFonts w:ascii="Times New Roman" w:hAnsi="Times New Roman" w:cs="Times New Roman"/>
                      <w:b/>
                      <w:bCs/>
                      <w:sz w:val="21"/>
                      <w:szCs w:val="21"/>
                      <w:vertAlign w:val="subscript"/>
                    </w:rPr>
                    <w:t>5</w:t>
                  </w:r>
                </w:p>
              </w:tc>
              <w:tc>
                <w:tcPr>
                  <w:tcW w:w="636"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悬浮物</w:t>
                  </w:r>
                </w:p>
              </w:tc>
              <w:tc>
                <w:tcPr>
                  <w:tcW w:w="602"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氨氮</w:t>
                  </w:r>
                </w:p>
              </w:tc>
              <w:tc>
                <w:tcPr>
                  <w:tcW w:w="630"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动植物油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13" w:type="pct"/>
                  <w:vMerge w:val="restar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产生情况</w:t>
                  </w:r>
                </w:p>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35730m³/a</w:t>
                  </w:r>
                </w:p>
              </w:tc>
              <w:tc>
                <w:tcPr>
                  <w:tcW w:w="104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处理前浓度(mg/L)</w:t>
                  </w:r>
                </w:p>
              </w:tc>
              <w:tc>
                <w:tcPr>
                  <w:tcW w:w="59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300</w:t>
                  </w:r>
                </w:p>
              </w:tc>
              <w:tc>
                <w:tcPr>
                  <w:tcW w:w="575"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200</w:t>
                  </w:r>
                </w:p>
              </w:tc>
              <w:tc>
                <w:tcPr>
                  <w:tcW w:w="63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200</w:t>
                  </w:r>
                </w:p>
              </w:tc>
              <w:tc>
                <w:tcPr>
                  <w:tcW w:w="602"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30</w:t>
                  </w:r>
                </w:p>
              </w:tc>
              <w:tc>
                <w:tcPr>
                  <w:tcW w:w="630"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13" w:type="pct"/>
                  <w:vMerge w:val="continue"/>
                  <w:vAlign w:val="center"/>
                </w:tcPr>
                <w:p>
                  <w:pPr>
                    <w:pStyle w:val="8"/>
                    <w:spacing w:line="240" w:lineRule="auto"/>
                    <w:ind w:firstLine="0" w:firstLineChars="0"/>
                    <w:jc w:val="center"/>
                    <w:rPr>
                      <w:rFonts w:ascii="Times New Roman" w:hAnsi="Times New Roman" w:cs="Times New Roman"/>
                      <w:sz w:val="21"/>
                      <w:szCs w:val="21"/>
                    </w:rPr>
                  </w:pPr>
                </w:p>
              </w:tc>
              <w:tc>
                <w:tcPr>
                  <w:tcW w:w="104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产生量(t/a)</w:t>
                  </w:r>
                </w:p>
              </w:tc>
              <w:tc>
                <w:tcPr>
                  <w:tcW w:w="59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10.719</w:t>
                  </w:r>
                </w:p>
              </w:tc>
              <w:tc>
                <w:tcPr>
                  <w:tcW w:w="575"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7.146</w:t>
                  </w:r>
                </w:p>
              </w:tc>
              <w:tc>
                <w:tcPr>
                  <w:tcW w:w="63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7.146</w:t>
                  </w:r>
                </w:p>
              </w:tc>
              <w:tc>
                <w:tcPr>
                  <w:tcW w:w="60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1.072</w:t>
                  </w:r>
                </w:p>
              </w:tc>
              <w:tc>
                <w:tcPr>
                  <w:tcW w:w="63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0.715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13" w:type="pct"/>
                  <w:vMerge w:val="restart"/>
                  <w:vAlign w:val="center"/>
                </w:tcPr>
                <w:p>
                  <w:pPr>
                    <w:pStyle w:val="8"/>
                    <w:spacing w:line="240" w:lineRule="auto"/>
                    <w:ind w:firstLine="0" w:firstLineChars="0"/>
                    <w:jc w:val="center"/>
                    <w:rPr>
                      <w:rFonts w:ascii="Times New Roman" w:hAnsi="Times New Roman" w:cs="Times New Roman"/>
                      <w:kern w:val="0"/>
                      <w:sz w:val="21"/>
                      <w:szCs w:val="21"/>
                    </w:rPr>
                  </w:pPr>
                  <w:r>
                    <w:rPr>
                      <w:rFonts w:ascii="Times New Roman" w:hAnsi="Times New Roman" w:cs="Times New Roman"/>
                      <w:kern w:val="0"/>
                      <w:sz w:val="21"/>
                      <w:szCs w:val="21"/>
                    </w:rPr>
                    <w:t>化粪池预处理后排放情况</w:t>
                  </w:r>
                </w:p>
                <w:p>
                  <w:pPr>
                    <w:pStyle w:val="8"/>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kern w:val="0"/>
                      <w:sz w:val="21"/>
                      <w:szCs w:val="21"/>
                    </w:rPr>
                    <w:t>（2</w:t>
                  </w:r>
                  <w:r>
                    <w:rPr>
                      <w:rFonts w:ascii="Times New Roman" w:hAnsi="Times New Roman" w:cs="Times New Roman"/>
                      <w:kern w:val="0"/>
                      <w:sz w:val="21"/>
                      <w:szCs w:val="21"/>
                    </w:rPr>
                    <w:t>8584</w:t>
                  </w:r>
                  <w:r>
                    <w:rPr>
                      <w:rFonts w:ascii="Times New Roman" w:hAnsi="Times New Roman" w:cs="Times New Roman"/>
                      <w:sz w:val="21"/>
                      <w:szCs w:val="21"/>
                    </w:rPr>
                    <w:t xml:space="preserve"> m³/a</w:t>
                  </w:r>
                  <w:r>
                    <w:rPr>
                      <w:rFonts w:hint="eastAsia" w:ascii="Times New Roman" w:hAnsi="Times New Roman" w:cs="Times New Roman"/>
                      <w:sz w:val="21"/>
                      <w:szCs w:val="21"/>
                    </w:rPr>
                    <w:t>）</w:t>
                  </w:r>
                </w:p>
              </w:tc>
              <w:tc>
                <w:tcPr>
                  <w:tcW w:w="104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去除率</w:t>
                  </w:r>
                </w:p>
              </w:tc>
              <w:tc>
                <w:tcPr>
                  <w:tcW w:w="59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15%</w:t>
                  </w:r>
                </w:p>
              </w:tc>
              <w:tc>
                <w:tcPr>
                  <w:tcW w:w="575"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10%</w:t>
                  </w:r>
                </w:p>
              </w:tc>
              <w:tc>
                <w:tcPr>
                  <w:tcW w:w="63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30%</w:t>
                  </w:r>
                </w:p>
              </w:tc>
              <w:tc>
                <w:tcPr>
                  <w:tcW w:w="60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3%</w:t>
                  </w:r>
                </w:p>
              </w:tc>
              <w:tc>
                <w:tcPr>
                  <w:tcW w:w="63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13" w:type="pct"/>
                  <w:vMerge w:val="continue"/>
                  <w:vAlign w:val="center"/>
                </w:tcPr>
                <w:p>
                  <w:pPr>
                    <w:pStyle w:val="8"/>
                    <w:spacing w:line="240" w:lineRule="auto"/>
                    <w:ind w:firstLine="0" w:firstLineChars="0"/>
                    <w:jc w:val="center"/>
                    <w:rPr>
                      <w:rFonts w:ascii="Times New Roman" w:hAnsi="Times New Roman" w:cs="Times New Roman"/>
                      <w:sz w:val="21"/>
                      <w:szCs w:val="21"/>
                    </w:rPr>
                  </w:pPr>
                </w:p>
              </w:tc>
              <w:tc>
                <w:tcPr>
                  <w:tcW w:w="104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处理后浓度(mg/L)</w:t>
                  </w:r>
                </w:p>
              </w:tc>
              <w:tc>
                <w:tcPr>
                  <w:tcW w:w="59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255</w:t>
                  </w:r>
                </w:p>
              </w:tc>
              <w:tc>
                <w:tcPr>
                  <w:tcW w:w="575"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180</w:t>
                  </w:r>
                </w:p>
              </w:tc>
              <w:tc>
                <w:tcPr>
                  <w:tcW w:w="63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140</w:t>
                  </w:r>
                </w:p>
              </w:tc>
              <w:tc>
                <w:tcPr>
                  <w:tcW w:w="60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29.1</w:t>
                  </w:r>
                </w:p>
              </w:tc>
              <w:tc>
                <w:tcPr>
                  <w:tcW w:w="63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13" w:type="pct"/>
                  <w:vMerge w:val="continue"/>
                  <w:vAlign w:val="center"/>
                </w:tcPr>
                <w:p>
                  <w:pPr>
                    <w:pStyle w:val="8"/>
                    <w:spacing w:line="240" w:lineRule="auto"/>
                    <w:ind w:firstLine="0" w:firstLineChars="0"/>
                    <w:jc w:val="center"/>
                    <w:rPr>
                      <w:rFonts w:ascii="Times New Roman" w:hAnsi="Times New Roman" w:cs="Times New Roman"/>
                      <w:sz w:val="21"/>
                      <w:szCs w:val="21"/>
                    </w:rPr>
                  </w:pPr>
                </w:p>
              </w:tc>
              <w:tc>
                <w:tcPr>
                  <w:tcW w:w="104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排放量(t/a)</w:t>
                  </w:r>
                </w:p>
              </w:tc>
              <w:tc>
                <w:tcPr>
                  <w:tcW w:w="59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7.289</w:t>
                  </w:r>
                </w:p>
              </w:tc>
              <w:tc>
                <w:tcPr>
                  <w:tcW w:w="575"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5.145</w:t>
                  </w:r>
                </w:p>
              </w:tc>
              <w:tc>
                <w:tcPr>
                  <w:tcW w:w="636"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4.002</w:t>
                  </w:r>
                </w:p>
              </w:tc>
              <w:tc>
                <w:tcPr>
                  <w:tcW w:w="60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0.832</w:t>
                  </w:r>
                </w:p>
              </w:tc>
              <w:tc>
                <w:tcPr>
                  <w:tcW w:w="63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0.457</w:t>
                  </w:r>
                </w:p>
              </w:tc>
            </w:tr>
          </w:tbl>
          <w:p>
            <w:pPr>
              <w:pStyle w:val="32"/>
              <w:adjustRightInd/>
              <w:snapToGrid/>
              <w:ind w:firstLine="482" w:firstLineChars="0"/>
              <w:rPr>
                <w:rFonts w:ascii="Times New Roman" w:hAnsi="Times New Roman" w:cs="Times New Roman"/>
                <w:szCs w:val="24"/>
              </w:rPr>
            </w:pPr>
            <w:r>
              <w:rPr>
                <w:rFonts w:ascii="Times New Roman" w:hAnsi="Times New Roman" w:cs="Times New Roman"/>
                <w:szCs w:val="24"/>
              </w:rPr>
              <w:t>（2）食堂废水</w:t>
            </w:r>
          </w:p>
          <w:p>
            <w:pPr>
              <w:pStyle w:val="32"/>
              <w:adjustRightInd/>
              <w:snapToGrid/>
              <w:ind w:firstLine="480" w:firstLineChars="0"/>
              <w:rPr>
                <w:rFonts w:ascii="Times New Roman" w:hAnsi="Times New Roman" w:eastAsia="宋体" w:cs="Times New Roman"/>
                <w:szCs w:val="24"/>
              </w:rPr>
            </w:pPr>
            <w:r>
              <w:rPr>
                <w:rFonts w:ascii="Times New Roman" w:hAnsi="Times New Roman" w:cs="Times New Roman"/>
                <w:szCs w:val="24"/>
              </w:rPr>
              <w:t>根据水平衡可知，食堂废水为15480m</w:t>
            </w:r>
            <w:r>
              <w:rPr>
                <w:rFonts w:ascii="Times New Roman" w:hAnsi="Times New Roman" w:cs="Times New Roman"/>
                <w:szCs w:val="24"/>
                <w:vertAlign w:val="superscript"/>
              </w:rPr>
              <w:t>3</w:t>
            </w:r>
            <w:r>
              <w:rPr>
                <w:rFonts w:ascii="Times New Roman" w:hAnsi="Times New Roman" w:cs="Times New Roman"/>
                <w:szCs w:val="24"/>
              </w:rPr>
              <w:t>/a</w:t>
            </w:r>
            <w:r>
              <w:rPr>
                <w:rFonts w:hint="eastAsia" w:ascii="Times New Roman" w:hAnsi="Times New Roman" w:cs="Times New Roman"/>
                <w:szCs w:val="24"/>
              </w:rPr>
              <w:t>（</w:t>
            </w:r>
            <w:r>
              <w:rPr>
                <w:rFonts w:ascii="Times New Roman" w:hAnsi="Times New Roman" w:cs="Times New Roman"/>
                <w:szCs w:val="24"/>
              </w:rPr>
              <w:t>77.4</w:t>
            </w:r>
            <w:r>
              <w:rPr>
                <w:rFonts w:hint="eastAsia" w:ascii="Times New Roman" w:hAnsi="Times New Roman" w:cs="Times New Roman"/>
                <w:szCs w:val="24"/>
              </w:rPr>
              <w:t>m</w:t>
            </w:r>
            <w:r>
              <w:rPr>
                <w:rFonts w:hint="eastAsia" w:ascii="Times New Roman" w:hAnsi="Times New Roman" w:cs="Times New Roman"/>
                <w:szCs w:val="24"/>
                <w:vertAlign w:val="superscript"/>
              </w:rPr>
              <w:t>3</w:t>
            </w:r>
            <w:r>
              <w:rPr>
                <w:rFonts w:hint="eastAsia" w:ascii="Times New Roman" w:hAnsi="Times New Roman" w:cs="Times New Roman"/>
                <w:szCs w:val="24"/>
              </w:rPr>
              <w:t>/d）</w:t>
            </w:r>
            <w:r>
              <w:rPr>
                <w:rFonts w:ascii="Times New Roman" w:hAnsi="Times New Roman" w:cs="Times New Roman"/>
                <w:szCs w:val="24"/>
              </w:rPr>
              <w:t>，其主要来源于蔬菜等原料清洗、厨具清洗以及烹饪等。此类废水中主要的污染因子为COD、BOD、氨氮、SS、动植物油等，拟设计食堂废水建设的隔油沉淀池处理能力约为100t/d。</w:t>
            </w:r>
          </w:p>
          <w:p>
            <w:pPr>
              <w:pStyle w:val="32"/>
              <w:adjustRightInd/>
              <w:snapToGrid/>
              <w:ind w:firstLine="480" w:firstLineChars="0"/>
              <w:rPr>
                <w:rFonts w:ascii="Times New Roman" w:hAnsi="Times New Roman" w:cs="Times New Roman"/>
              </w:rPr>
            </w:pPr>
            <w:r>
              <w:rPr>
                <w:rFonts w:ascii="Times New Roman" w:hAnsi="Times New Roman" w:cs="Times New Roman"/>
              </w:rPr>
              <w:t>参照第一次全国污染源普查系数可知其主要污染物的产生浓度为：COD：</w:t>
            </w:r>
            <w:r>
              <w:rPr>
                <w:rFonts w:hint="eastAsia" w:ascii="Times New Roman" w:hAnsi="Times New Roman" w:cs="Times New Roman"/>
              </w:rPr>
              <w:t>3</w:t>
            </w:r>
            <w:r>
              <w:rPr>
                <w:rFonts w:ascii="Times New Roman" w:hAnsi="Times New Roman" w:cs="Times New Roman"/>
              </w:rPr>
              <w:t>00mg/L、BOD</w:t>
            </w:r>
            <w:r>
              <w:rPr>
                <w:rFonts w:ascii="Times New Roman" w:hAnsi="Times New Roman" w:cs="Times New Roman"/>
                <w:szCs w:val="24"/>
                <w:vertAlign w:val="subscript"/>
              </w:rPr>
              <w:t>5</w:t>
            </w:r>
            <w:r>
              <w:rPr>
                <w:rFonts w:ascii="Times New Roman" w:hAnsi="Times New Roman" w:cs="Times New Roman"/>
              </w:rPr>
              <w:t>：300mg/L、SS：250mg/L、动植物油：40mg/L、NH</w:t>
            </w:r>
            <w:r>
              <w:rPr>
                <w:rFonts w:ascii="Times New Roman" w:hAnsi="Times New Roman" w:cs="Times New Roman"/>
                <w:vertAlign w:val="subscript"/>
              </w:rPr>
              <w:t>3</w:t>
            </w:r>
            <w:r>
              <w:rPr>
                <w:rFonts w:ascii="Times New Roman" w:hAnsi="Times New Roman" w:cs="Times New Roman"/>
              </w:rPr>
              <w:t>-N：30mg/L。根据相关资料及类比类似项目可知，食堂废水经隔油沉淀池处理后各污染物浓度预计为COD：360mg/L、BOD</w:t>
            </w:r>
            <w:r>
              <w:rPr>
                <w:rFonts w:ascii="Times New Roman" w:hAnsi="Times New Roman" w:cs="Times New Roman"/>
                <w:szCs w:val="24"/>
                <w:vertAlign w:val="subscript"/>
              </w:rPr>
              <w:t>5</w:t>
            </w:r>
            <w:r>
              <w:rPr>
                <w:rFonts w:ascii="Times New Roman" w:hAnsi="Times New Roman" w:cs="Times New Roman"/>
              </w:rPr>
              <w:t>：150mg/L、SS：100mg/L、动植物油：10mg/L、NH</w:t>
            </w:r>
            <w:r>
              <w:rPr>
                <w:rFonts w:ascii="Times New Roman" w:hAnsi="Times New Roman" w:cs="Times New Roman"/>
                <w:vertAlign w:val="subscript"/>
              </w:rPr>
              <w:t>3</w:t>
            </w:r>
            <w:r>
              <w:rPr>
                <w:rFonts w:ascii="Times New Roman" w:hAnsi="Times New Roman" w:cs="Times New Roman"/>
              </w:rPr>
              <w:t>-N：25mg/L。</w:t>
            </w:r>
          </w:p>
          <w:p>
            <w:pPr>
              <w:pStyle w:val="32"/>
              <w:adjustRightInd/>
              <w:snapToGrid/>
              <w:ind w:firstLine="480" w:firstLineChars="0"/>
              <w:rPr>
                <w:rFonts w:ascii="Times New Roman" w:hAnsi="Times New Roman" w:cs="Times New Roman"/>
                <w:b/>
                <w:bCs/>
                <w:szCs w:val="24"/>
              </w:rPr>
            </w:pPr>
            <w:r>
              <w:rPr>
                <w:rFonts w:hint="eastAsia" w:ascii="Times New Roman" w:hAnsi="Times New Roman" w:cs="Times New Roman"/>
                <w:b/>
                <w:bCs/>
                <w:szCs w:val="24"/>
              </w:rPr>
              <w:t>处理措施及排放情况</w:t>
            </w:r>
          </w:p>
          <w:p>
            <w:pPr>
              <w:pStyle w:val="32"/>
              <w:adjustRightInd/>
              <w:snapToGrid/>
              <w:ind w:firstLine="480" w:firstLineChars="0"/>
              <w:rPr>
                <w:rFonts w:ascii="Times New Roman" w:hAnsi="Times New Roman" w:cs="Times New Roman"/>
                <w:szCs w:val="24"/>
              </w:rPr>
            </w:pPr>
            <w:r>
              <w:rPr>
                <w:rFonts w:ascii="Times New Roman" w:hAnsi="Times New Roman" w:cs="Times New Roman"/>
              </w:rPr>
              <w:t>食堂废水经隔油沉淀池处理后</w:t>
            </w:r>
            <w:r>
              <w:rPr>
                <w:rFonts w:hint="eastAsia" w:ascii="Times New Roman" w:hAnsi="Times New Roman" w:cs="Times New Roman"/>
              </w:rPr>
              <w:t>同生活污水一样根据实际分两种情况处理并达标排放。</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食堂废水的产生和预处理后情况见表5-12。</w:t>
            </w:r>
          </w:p>
          <w:p>
            <w:pPr>
              <w:pStyle w:val="32"/>
              <w:adjustRightInd/>
              <w:snapToGrid/>
              <w:ind w:firstLine="480" w:firstLineChars="0"/>
              <w:jc w:val="center"/>
              <w:rPr>
                <w:rFonts w:ascii="Times New Roman" w:hAnsi="Times New Roman" w:cs="Times New Roman"/>
                <w:szCs w:val="24"/>
              </w:rPr>
            </w:pPr>
            <w:r>
              <w:rPr>
                <w:rFonts w:hint="eastAsia" w:ascii="Times New Roman" w:hAnsi="Times New Roman"/>
                <w:b/>
                <w:bCs/>
                <w:szCs w:val="24"/>
              </w:rPr>
              <w:t>表5-</w:t>
            </w:r>
            <w:r>
              <w:rPr>
                <w:rFonts w:ascii="Times New Roman" w:hAnsi="Times New Roman"/>
                <w:b/>
                <w:bCs/>
                <w:szCs w:val="24"/>
              </w:rPr>
              <w:t>12  各种污染指标浓度及</w:t>
            </w:r>
            <w:r>
              <w:rPr>
                <w:rFonts w:hint="eastAsia" w:ascii="Times New Roman" w:hAnsi="Times New Roman"/>
                <w:b/>
                <w:bCs/>
                <w:szCs w:val="24"/>
              </w:rPr>
              <w:t>产排情况</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737"/>
              <w:gridCol w:w="987"/>
              <w:gridCol w:w="950"/>
              <w:gridCol w:w="1053"/>
              <w:gridCol w:w="997"/>
              <w:gridCol w:w="10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972" w:type="pct"/>
                  <w:gridSpan w:val="2"/>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污染指标</w:t>
                  </w:r>
                </w:p>
              </w:tc>
              <w:tc>
                <w:tcPr>
                  <w:tcW w:w="594"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COD</w:t>
                  </w:r>
                  <w:r>
                    <w:rPr>
                      <w:rFonts w:ascii="Times New Roman" w:hAnsi="Times New Roman" w:cs="Times New Roman"/>
                      <w:b/>
                      <w:bCs/>
                      <w:sz w:val="21"/>
                      <w:szCs w:val="21"/>
                      <w:vertAlign w:val="subscript"/>
                    </w:rPr>
                    <w:t>Cr</w:t>
                  </w:r>
                </w:p>
              </w:tc>
              <w:tc>
                <w:tcPr>
                  <w:tcW w:w="572"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BOD</w:t>
                  </w:r>
                  <w:r>
                    <w:rPr>
                      <w:rFonts w:ascii="Times New Roman" w:hAnsi="Times New Roman" w:cs="Times New Roman"/>
                      <w:b/>
                      <w:bCs/>
                      <w:sz w:val="21"/>
                      <w:szCs w:val="21"/>
                      <w:vertAlign w:val="subscript"/>
                    </w:rPr>
                    <w:t>5</w:t>
                  </w:r>
                </w:p>
              </w:tc>
              <w:tc>
                <w:tcPr>
                  <w:tcW w:w="634"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悬浮物</w:t>
                  </w:r>
                </w:p>
              </w:tc>
              <w:tc>
                <w:tcPr>
                  <w:tcW w:w="600"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氨氮</w:t>
                  </w:r>
                </w:p>
              </w:tc>
              <w:tc>
                <w:tcPr>
                  <w:tcW w:w="628" w:type="pct"/>
                  <w:vAlign w:val="center"/>
                </w:tcPr>
                <w:p>
                  <w:pPr>
                    <w:pStyle w:val="8"/>
                    <w:spacing w:line="240" w:lineRule="auto"/>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动植物油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6" w:type="pct"/>
                  <w:vMerge w:val="restar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产生情况</w:t>
                  </w:r>
                </w:p>
                <w:p>
                  <w:pPr>
                    <w:pStyle w:val="8"/>
                    <w:spacing w:line="240" w:lineRule="auto"/>
                    <w:ind w:firstLine="0" w:firstLineChars="0"/>
                    <w:jc w:val="center"/>
                    <w:rPr>
                      <w:rFonts w:ascii="Times New Roman" w:hAnsi="Times New Roman" w:cs="Times New Roman"/>
                      <w:sz w:val="21"/>
                      <w:szCs w:val="21"/>
                      <w:highlight w:val="yellow"/>
                    </w:rPr>
                  </w:pPr>
                  <w:r>
                    <w:rPr>
                      <w:rFonts w:ascii="Times New Roman" w:hAnsi="Times New Roman" w:cs="Times New Roman"/>
                      <w:sz w:val="21"/>
                      <w:szCs w:val="21"/>
                    </w:rPr>
                    <w:t>19350m³/a</w:t>
                  </w:r>
                </w:p>
              </w:tc>
              <w:tc>
                <w:tcPr>
                  <w:tcW w:w="104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处理前浓度(mg/L)</w:t>
                  </w:r>
                </w:p>
              </w:tc>
              <w:tc>
                <w:tcPr>
                  <w:tcW w:w="594"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600</w:t>
                  </w:r>
                </w:p>
              </w:tc>
              <w:tc>
                <w:tcPr>
                  <w:tcW w:w="572"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300</w:t>
                  </w:r>
                </w:p>
              </w:tc>
              <w:tc>
                <w:tcPr>
                  <w:tcW w:w="634"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250</w:t>
                  </w:r>
                </w:p>
              </w:tc>
              <w:tc>
                <w:tcPr>
                  <w:tcW w:w="600"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30</w:t>
                  </w:r>
                </w:p>
              </w:tc>
              <w:tc>
                <w:tcPr>
                  <w:tcW w:w="628"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6" w:type="pct"/>
                  <w:vMerge w:val="continue"/>
                  <w:vAlign w:val="center"/>
                </w:tcPr>
                <w:p>
                  <w:pPr>
                    <w:pStyle w:val="8"/>
                    <w:spacing w:line="240" w:lineRule="auto"/>
                    <w:ind w:firstLine="0" w:firstLineChars="0"/>
                    <w:jc w:val="center"/>
                    <w:rPr>
                      <w:rFonts w:ascii="Times New Roman" w:hAnsi="Times New Roman" w:cs="Times New Roman"/>
                      <w:sz w:val="21"/>
                      <w:szCs w:val="21"/>
                      <w:highlight w:val="yellow"/>
                    </w:rPr>
                  </w:pPr>
                </w:p>
              </w:tc>
              <w:tc>
                <w:tcPr>
                  <w:tcW w:w="104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产生量(t/a)</w:t>
                  </w:r>
                </w:p>
              </w:tc>
              <w:tc>
                <w:tcPr>
                  <w:tcW w:w="594"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r>
                    <w:rPr>
                      <w:rFonts w:ascii="Times New Roman" w:hAnsi="Times New Roman" w:cs="Times New Roman"/>
                      <w:color w:val="000000"/>
                      <w:sz w:val="21"/>
                      <w:szCs w:val="21"/>
                    </w:rPr>
                    <w:t>1.61</w:t>
                  </w:r>
                </w:p>
              </w:tc>
              <w:tc>
                <w:tcPr>
                  <w:tcW w:w="572"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5</w:t>
                  </w:r>
                  <w:r>
                    <w:rPr>
                      <w:rFonts w:ascii="Times New Roman" w:hAnsi="Times New Roman" w:cs="Times New Roman"/>
                      <w:color w:val="000000"/>
                      <w:sz w:val="21"/>
                      <w:szCs w:val="21"/>
                    </w:rPr>
                    <w:t>.805</w:t>
                  </w:r>
                </w:p>
              </w:tc>
              <w:tc>
                <w:tcPr>
                  <w:tcW w:w="634"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4</w:t>
                  </w:r>
                  <w:r>
                    <w:rPr>
                      <w:rFonts w:ascii="Times New Roman" w:hAnsi="Times New Roman" w:cs="Times New Roman"/>
                      <w:color w:val="000000"/>
                      <w:sz w:val="21"/>
                      <w:szCs w:val="21"/>
                    </w:rPr>
                    <w:t>.8375</w:t>
                  </w:r>
                </w:p>
              </w:tc>
              <w:tc>
                <w:tcPr>
                  <w:tcW w:w="600"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w:t>
                  </w:r>
                  <w:r>
                    <w:rPr>
                      <w:rFonts w:ascii="Times New Roman" w:hAnsi="Times New Roman" w:cs="Times New Roman"/>
                      <w:color w:val="000000"/>
                      <w:sz w:val="21"/>
                      <w:szCs w:val="21"/>
                    </w:rPr>
                    <w:t>.581</w:t>
                  </w:r>
                </w:p>
              </w:tc>
              <w:tc>
                <w:tcPr>
                  <w:tcW w:w="628"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0.774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6" w:type="pct"/>
                  <w:vMerge w:val="restart"/>
                  <w:vAlign w:val="center"/>
                </w:tcPr>
                <w:p>
                  <w:pPr>
                    <w:pStyle w:val="8"/>
                    <w:spacing w:line="240" w:lineRule="auto"/>
                    <w:ind w:firstLine="0" w:firstLineChars="0"/>
                    <w:jc w:val="center"/>
                    <w:rPr>
                      <w:rFonts w:ascii="Times New Roman" w:hAnsi="Times New Roman" w:cs="Times New Roman"/>
                      <w:kern w:val="0"/>
                      <w:sz w:val="21"/>
                      <w:szCs w:val="21"/>
                    </w:rPr>
                  </w:pPr>
                  <w:r>
                    <w:rPr>
                      <w:rFonts w:hint="eastAsia" w:ascii="Times New Roman" w:hAnsi="Times New Roman" w:cs="Times New Roman"/>
                      <w:kern w:val="0"/>
                      <w:sz w:val="21"/>
                      <w:szCs w:val="21"/>
                    </w:rPr>
                    <w:t>隔油+</w:t>
                  </w:r>
                  <w:r>
                    <w:rPr>
                      <w:rFonts w:ascii="Times New Roman" w:hAnsi="Times New Roman" w:cs="Times New Roman"/>
                      <w:kern w:val="0"/>
                      <w:sz w:val="21"/>
                      <w:szCs w:val="21"/>
                    </w:rPr>
                    <w:t>化粪池预处理后排放情况</w:t>
                  </w:r>
                </w:p>
                <w:p>
                  <w:pPr>
                    <w:pStyle w:val="8"/>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kern w:val="0"/>
                      <w:sz w:val="21"/>
                      <w:szCs w:val="21"/>
                    </w:rPr>
                    <w:t>（1</w:t>
                  </w:r>
                  <w:r>
                    <w:rPr>
                      <w:rFonts w:ascii="Times New Roman" w:hAnsi="Times New Roman" w:cs="Times New Roman"/>
                      <w:kern w:val="0"/>
                      <w:sz w:val="21"/>
                      <w:szCs w:val="21"/>
                    </w:rPr>
                    <w:t>5480</w:t>
                  </w:r>
                  <w:r>
                    <w:rPr>
                      <w:rFonts w:ascii="Times New Roman" w:hAnsi="Times New Roman" w:cs="Times New Roman"/>
                      <w:sz w:val="21"/>
                      <w:szCs w:val="21"/>
                    </w:rPr>
                    <w:t>m³/a</w:t>
                  </w:r>
                  <w:r>
                    <w:rPr>
                      <w:rFonts w:hint="eastAsia" w:ascii="Times New Roman" w:hAnsi="Times New Roman" w:cs="Times New Roman"/>
                      <w:sz w:val="21"/>
                      <w:szCs w:val="21"/>
                    </w:rPr>
                    <w:t>）</w:t>
                  </w:r>
                </w:p>
              </w:tc>
              <w:tc>
                <w:tcPr>
                  <w:tcW w:w="104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去除率</w:t>
                  </w:r>
                </w:p>
              </w:tc>
              <w:tc>
                <w:tcPr>
                  <w:tcW w:w="594"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54.2%</w:t>
                  </w:r>
                </w:p>
              </w:tc>
              <w:tc>
                <w:tcPr>
                  <w:tcW w:w="57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43.4%</w:t>
                  </w:r>
                </w:p>
              </w:tc>
              <w:tc>
                <w:tcPr>
                  <w:tcW w:w="634"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30%</w:t>
                  </w:r>
                </w:p>
              </w:tc>
              <w:tc>
                <w:tcPr>
                  <w:tcW w:w="60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3%</w:t>
                  </w:r>
                </w:p>
              </w:tc>
              <w:tc>
                <w:tcPr>
                  <w:tcW w:w="628"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sz w:val="21"/>
                      <w:szCs w:val="21"/>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6" w:type="pct"/>
                  <w:vMerge w:val="continue"/>
                  <w:vAlign w:val="center"/>
                </w:tcPr>
                <w:p>
                  <w:pPr>
                    <w:pStyle w:val="8"/>
                    <w:spacing w:line="240" w:lineRule="auto"/>
                    <w:ind w:firstLine="0" w:firstLineChars="0"/>
                    <w:jc w:val="center"/>
                    <w:rPr>
                      <w:rFonts w:ascii="Times New Roman" w:hAnsi="Times New Roman" w:cs="Times New Roman"/>
                      <w:sz w:val="21"/>
                      <w:szCs w:val="21"/>
                    </w:rPr>
                  </w:pPr>
                </w:p>
              </w:tc>
              <w:tc>
                <w:tcPr>
                  <w:tcW w:w="104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处理后浓度(mg/L)</w:t>
                  </w:r>
                </w:p>
              </w:tc>
              <w:tc>
                <w:tcPr>
                  <w:tcW w:w="594"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275</w:t>
                  </w:r>
                </w:p>
              </w:tc>
              <w:tc>
                <w:tcPr>
                  <w:tcW w:w="572"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170</w:t>
                  </w:r>
                </w:p>
              </w:tc>
              <w:tc>
                <w:tcPr>
                  <w:tcW w:w="634"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175</w:t>
                  </w:r>
                </w:p>
              </w:tc>
              <w:tc>
                <w:tcPr>
                  <w:tcW w:w="600"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r>
                    <w:rPr>
                      <w:rFonts w:ascii="Times New Roman" w:hAnsi="Times New Roman" w:cs="Times New Roman"/>
                      <w:color w:val="000000"/>
                      <w:sz w:val="21"/>
                      <w:szCs w:val="21"/>
                    </w:rPr>
                    <w:t>9.1</w:t>
                  </w:r>
                </w:p>
              </w:tc>
              <w:tc>
                <w:tcPr>
                  <w:tcW w:w="628"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26" w:type="pct"/>
                  <w:vMerge w:val="continue"/>
                  <w:vAlign w:val="center"/>
                </w:tcPr>
                <w:p>
                  <w:pPr>
                    <w:pStyle w:val="8"/>
                    <w:spacing w:line="240" w:lineRule="auto"/>
                    <w:ind w:firstLine="0" w:firstLineChars="0"/>
                    <w:jc w:val="center"/>
                    <w:rPr>
                      <w:rFonts w:ascii="Times New Roman" w:hAnsi="Times New Roman" w:cs="Times New Roman"/>
                      <w:sz w:val="21"/>
                      <w:szCs w:val="21"/>
                    </w:rPr>
                  </w:pPr>
                </w:p>
              </w:tc>
              <w:tc>
                <w:tcPr>
                  <w:tcW w:w="1046" w:type="pct"/>
                  <w:vAlign w:val="center"/>
                </w:tcPr>
                <w:p>
                  <w:pPr>
                    <w:pStyle w:val="8"/>
                    <w:spacing w:line="240" w:lineRule="auto"/>
                    <w:ind w:firstLine="0" w:firstLineChars="0"/>
                    <w:jc w:val="center"/>
                    <w:rPr>
                      <w:rFonts w:ascii="Times New Roman" w:hAnsi="Times New Roman" w:cs="Times New Roman"/>
                      <w:sz w:val="21"/>
                      <w:szCs w:val="21"/>
                    </w:rPr>
                  </w:pPr>
                  <w:r>
                    <w:rPr>
                      <w:rFonts w:ascii="Times New Roman" w:hAnsi="Times New Roman" w:cs="Times New Roman"/>
                      <w:sz w:val="21"/>
                      <w:szCs w:val="21"/>
                    </w:rPr>
                    <w:t>排放量(t/a)</w:t>
                  </w:r>
                </w:p>
              </w:tc>
              <w:tc>
                <w:tcPr>
                  <w:tcW w:w="594"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7</w:t>
                  </w:r>
                  <w:r>
                    <w:rPr>
                      <w:rFonts w:ascii="Times New Roman" w:hAnsi="Times New Roman" w:cs="Times New Roman"/>
                      <w:color w:val="000000"/>
                      <w:sz w:val="21"/>
                      <w:szCs w:val="21"/>
                    </w:rPr>
                    <w:t>.895</w:t>
                  </w:r>
                </w:p>
              </w:tc>
              <w:tc>
                <w:tcPr>
                  <w:tcW w:w="572" w:type="pct"/>
                  <w:vAlign w:val="center"/>
                </w:tcPr>
                <w:p>
                  <w:pPr>
                    <w:spacing w:line="240" w:lineRule="auto"/>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4</w:t>
                  </w:r>
                  <w:r>
                    <w:rPr>
                      <w:rFonts w:ascii="Times New Roman" w:hAnsi="Times New Roman" w:cs="Times New Roman"/>
                      <w:color w:val="000000"/>
                      <w:sz w:val="21"/>
                      <w:szCs w:val="21"/>
                    </w:rPr>
                    <w:t>.180</w:t>
                  </w:r>
                </w:p>
              </w:tc>
              <w:tc>
                <w:tcPr>
                  <w:tcW w:w="634"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2.709</w:t>
                  </w:r>
                </w:p>
              </w:tc>
              <w:tc>
                <w:tcPr>
                  <w:tcW w:w="600"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0.450</w:t>
                  </w:r>
                </w:p>
              </w:tc>
              <w:tc>
                <w:tcPr>
                  <w:tcW w:w="628" w:type="pct"/>
                  <w:vAlign w:val="center"/>
                </w:tcPr>
                <w:p>
                  <w:pPr>
                    <w:spacing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0.495</w:t>
                  </w:r>
                </w:p>
              </w:tc>
            </w:tr>
          </w:tbl>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（3）实验室废水</w:t>
            </w:r>
          </w:p>
          <w:p>
            <w:pPr>
              <w:pStyle w:val="32"/>
              <w:adjustRightInd/>
              <w:snapToGrid/>
              <w:ind w:firstLine="480" w:firstLineChars="0"/>
              <w:rPr>
                <w:rFonts w:ascii="Times New Roman" w:hAnsi="Times New Roman" w:cs="Times New Roman"/>
                <w:szCs w:val="24"/>
              </w:rPr>
            </w:pPr>
            <w:r>
              <w:rPr>
                <w:rFonts w:ascii="Times New Roman" w:hAnsi="Times New Roman" w:cs="Times New Roman"/>
                <w:szCs w:val="24"/>
              </w:rPr>
              <w:t>建设项目实验室废水主要</w:t>
            </w:r>
            <w:r>
              <w:rPr>
                <w:rFonts w:hint="eastAsia" w:ascii="Times New Roman" w:hAnsi="Times New Roman" w:cs="Times New Roman"/>
                <w:szCs w:val="24"/>
              </w:rPr>
              <w:t>来源于</w:t>
            </w:r>
            <w:r>
              <w:rPr>
                <w:rFonts w:ascii="Times New Roman" w:hAnsi="Times New Roman" w:cs="Times New Roman"/>
                <w:szCs w:val="24"/>
              </w:rPr>
              <w:t>化学、物理和生物实验室</w:t>
            </w:r>
            <w:r>
              <w:rPr>
                <w:rFonts w:hint="eastAsia" w:ascii="Times New Roman" w:hAnsi="Times New Roman" w:cs="Times New Roman"/>
                <w:szCs w:val="24"/>
              </w:rPr>
              <w:t>用</w:t>
            </w:r>
            <w:r>
              <w:rPr>
                <w:rFonts w:ascii="Times New Roman" w:hAnsi="Times New Roman" w:cs="Times New Roman"/>
                <w:szCs w:val="24"/>
              </w:rPr>
              <w:t>水，</w:t>
            </w:r>
            <w:r>
              <w:rPr>
                <w:rFonts w:hint="eastAsia" w:ascii="Times New Roman" w:hAnsi="Times New Roman" w:cs="Times New Roman"/>
                <w:szCs w:val="24"/>
              </w:rPr>
              <w:t>类比同类项目，用水</w:t>
            </w:r>
            <w:r>
              <w:rPr>
                <w:rFonts w:ascii="Times New Roman" w:hAnsi="Times New Roman" w:cs="Times New Roman"/>
                <w:szCs w:val="24"/>
              </w:rPr>
              <w:t>量分别为</w:t>
            </w:r>
            <w:r>
              <w:rPr>
                <w:rFonts w:hint="eastAsia" w:ascii="Times New Roman" w:hAnsi="Times New Roman" w:cs="Times New Roman"/>
                <w:szCs w:val="24"/>
              </w:rPr>
              <w:t>1</w:t>
            </w:r>
            <w:r>
              <w:rPr>
                <w:rFonts w:ascii="Times New Roman" w:hAnsi="Times New Roman" w:cs="Times New Roman"/>
                <w:szCs w:val="24"/>
              </w:rPr>
              <w:t>100m</w:t>
            </w:r>
            <w:r>
              <w:rPr>
                <w:rFonts w:ascii="Times New Roman" w:hAnsi="Times New Roman" w:cs="Times New Roman"/>
                <w:szCs w:val="24"/>
                <w:vertAlign w:val="superscript"/>
              </w:rPr>
              <w:t>3</w:t>
            </w:r>
            <w:r>
              <w:rPr>
                <w:rFonts w:ascii="Times New Roman" w:hAnsi="Times New Roman" w:cs="Times New Roman"/>
                <w:szCs w:val="24"/>
              </w:rPr>
              <w:t>/a、</w:t>
            </w:r>
            <w:r>
              <w:rPr>
                <w:rFonts w:hint="eastAsia" w:ascii="Times New Roman" w:hAnsi="Times New Roman" w:cs="Times New Roman"/>
                <w:szCs w:val="24"/>
              </w:rPr>
              <w:t>4</w:t>
            </w:r>
            <w:r>
              <w:rPr>
                <w:rFonts w:ascii="Times New Roman" w:hAnsi="Times New Roman" w:cs="Times New Roman"/>
                <w:szCs w:val="24"/>
              </w:rPr>
              <w:t>00m</w:t>
            </w:r>
            <w:r>
              <w:rPr>
                <w:rFonts w:ascii="Times New Roman" w:hAnsi="Times New Roman" w:cs="Times New Roman"/>
                <w:szCs w:val="24"/>
                <w:vertAlign w:val="superscript"/>
              </w:rPr>
              <w:t>3</w:t>
            </w:r>
            <w:r>
              <w:rPr>
                <w:rFonts w:ascii="Times New Roman" w:hAnsi="Times New Roman" w:cs="Times New Roman"/>
                <w:szCs w:val="24"/>
              </w:rPr>
              <w:t>/a、</w:t>
            </w:r>
            <w:r>
              <w:rPr>
                <w:rFonts w:hint="eastAsia" w:ascii="Times New Roman" w:hAnsi="Times New Roman" w:cs="Times New Roman"/>
                <w:szCs w:val="24"/>
              </w:rPr>
              <w:t>4</w:t>
            </w:r>
            <w:r>
              <w:rPr>
                <w:rFonts w:ascii="Times New Roman" w:hAnsi="Times New Roman" w:cs="Times New Roman"/>
                <w:szCs w:val="24"/>
              </w:rPr>
              <w:t>00m</w:t>
            </w:r>
            <w:r>
              <w:rPr>
                <w:rFonts w:ascii="Times New Roman" w:hAnsi="Times New Roman" w:cs="Times New Roman"/>
                <w:szCs w:val="24"/>
                <w:vertAlign w:val="superscript"/>
              </w:rPr>
              <w:t>3</w:t>
            </w:r>
            <w:r>
              <w:rPr>
                <w:rFonts w:ascii="Times New Roman" w:hAnsi="Times New Roman" w:cs="Times New Roman"/>
                <w:szCs w:val="24"/>
              </w:rPr>
              <w:t>/a。</w:t>
            </w:r>
          </w:p>
          <w:p>
            <w:pPr>
              <w:pStyle w:val="32"/>
              <w:adjustRightInd/>
              <w:snapToGrid/>
              <w:ind w:firstLine="480" w:firstLineChars="0"/>
              <w:rPr>
                <w:rFonts w:hAnsi="宋体" w:eastAsia="宋体" w:cs="宋体"/>
                <w:color w:val="000000"/>
                <w:kern w:val="0"/>
                <w:szCs w:val="24"/>
                <w:lang w:bidi="ar"/>
              </w:rPr>
            </w:pPr>
            <w:r>
              <w:rPr>
                <w:rFonts w:ascii="Times New Roman" w:hAnsi="Times New Roman" w:cs="Times New Roman"/>
                <w:szCs w:val="24"/>
              </w:rPr>
              <w:t>根据中学的实验课程安排，</w:t>
            </w:r>
            <w:r>
              <w:rPr>
                <w:rFonts w:hint="eastAsia" w:hAnsi="宋体" w:eastAsia="宋体" w:cs="宋体"/>
                <w:color w:val="000000"/>
                <w:kern w:val="0"/>
                <w:szCs w:val="24"/>
                <w:lang w:bidi="ar"/>
              </w:rPr>
              <w:t>本项目为小学初中教学，初中生物实验主要为标本等简单性实验教学，不涉及动物解剖等实验，用水量极少。初中化学实验只进行简单的化学授课过程，初中化学教学中使用的化学试剂以酸碱盐为主，不涉及重金属实验，该类废水产生量以用水量的</w:t>
            </w:r>
            <w:r>
              <w:rPr>
                <w:rFonts w:ascii="Times New Roman" w:hAnsi="Times New Roman" w:eastAsia="宋体" w:cs="Times New Roman"/>
                <w:color w:val="000000"/>
                <w:kern w:val="0"/>
                <w:szCs w:val="24"/>
                <w:lang w:bidi="ar"/>
              </w:rPr>
              <w:t>80%</w:t>
            </w:r>
            <w:r>
              <w:rPr>
                <w:rFonts w:hint="eastAsia" w:hAnsi="宋体" w:eastAsia="宋体" w:cs="宋体"/>
                <w:color w:val="000000"/>
                <w:kern w:val="0"/>
                <w:szCs w:val="24"/>
                <w:lang w:bidi="ar"/>
              </w:rPr>
              <w:t>计，为</w:t>
            </w:r>
            <w:r>
              <w:rPr>
                <w:rFonts w:ascii="Times New Roman" w:hAnsi="Times New Roman" w:eastAsia="宋体" w:cs="Times New Roman"/>
                <w:color w:val="000000"/>
                <w:kern w:val="0"/>
                <w:szCs w:val="24"/>
                <w:lang w:bidi="ar"/>
              </w:rPr>
              <w:t>1520m</w:t>
            </w:r>
            <w:r>
              <w:rPr>
                <w:rFonts w:ascii="Times New Roman" w:hAnsi="Times New Roman" w:eastAsia="宋体" w:cs="Times New Roman"/>
                <w:color w:val="000000"/>
                <w:kern w:val="0"/>
                <w:szCs w:val="24"/>
                <w:vertAlign w:val="superscript"/>
                <w:lang w:bidi="ar"/>
              </w:rPr>
              <w:t>3</w:t>
            </w:r>
            <w:r>
              <w:rPr>
                <w:rFonts w:ascii="Times New Roman" w:hAnsi="Times New Roman" w:eastAsia="宋体" w:cs="Times New Roman"/>
                <w:color w:val="000000"/>
                <w:kern w:val="0"/>
                <w:szCs w:val="24"/>
                <w:lang w:bidi="ar"/>
              </w:rPr>
              <w:t>/a</w:t>
            </w:r>
            <w:r>
              <w:rPr>
                <w:rFonts w:hint="eastAsia" w:hAnsi="宋体" w:eastAsia="宋体" w:cs="宋体"/>
                <w:color w:val="000000"/>
                <w:kern w:val="0"/>
                <w:szCs w:val="24"/>
                <w:lang w:bidi="ar"/>
              </w:rPr>
              <w:t>。</w:t>
            </w:r>
          </w:p>
          <w:p>
            <w:pPr>
              <w:pStyle w:val="32"/>
              <w:adjustRightInd/>
              <w:snapToGrid/>
              <w:ind w:firstLine="480" w:firstLineChars="0"/>
              <w:rPr>
                <w:rFonts w:ascii="Times New Roman" w:hAnsi="Times New Roman"/>
                <w:szCs w:val="24"/>
              </w:rPr>
            </w:pPr>
            <w:r>
              <w:rPr>
                <w:rFonts w:ascii="Times New Roman" w:hAnsi="Times New Roman"/>
                <w:szCs w:val="24"/>
              </w:rPr>
              <w:t>据估算，化学实验室废水约2.4m</w:t>
            </w:r>
            <w:r>
              <w:rPr>
                <w:rFonts w:ascii="Times New Roman" w:hAnsi="Times New Roman"/>
                <w:szCs w:val="24"/>
                <w:vertAlign w:val="superscript"/>
              </w:rPr>
              <w:t>3</w:t>
            </w:r>
            <w:r>
              <w:rPr>
                <w:rFonts w:ascii="Times New Roman" w:hAnsi="Times New Roman"/>
                <w:szCs w:val="24"/>
              </w:rPr>
              <w:t>/d</w:t>
            </w:r>
            <w:r>
              <w:rPr>
                <w:rFonts w:hAnsi="宋体" w:eastAsia="宋体" w:cs="宋体"/>
                <w:color w:val="000000"/>
                <w:kern w:val="0"/>
                <w:szCs w:val="24"/>
                <w:lang w:bidi="ar"/>
              </w:rPr>
              <w:t>，其</w:t>
            </w:r>
            <w:r>
              <w:rPr>
                <w:rFonts w:ascii="Times New Roman" w:hAnsi="Times New Roman" w:eastAsia="宋体" w:cs="Times New Roman"/>
                <w:color w:val="000000"/>
                <w:kern w:val="0"/>
                <w:szCs w:val="24"/>
                <w:lang w:bidi="ar"/>
              </w:rPr>
              <w:t>中初次清洗产生的清洗废液约为80m</w:t>
            </w:r>
            <w:r>
              <w:rPr>
                <w:rFonts w:ascii="Times New Roman" w:hAnsi="Times New Roman" w:eastAsia="宋体" w:cs="Times New Roman"/>
                <w:color w:val="000000"/>
                <w:kern w:val="0"/>
                <w:szCs w:val="24"/>
                <w:vertAlign w:val="superscript"/>
                <w:lang w:bidi="ar"/>
              </w:rPr>
              <w:t>3</w:t>
            </w:r>
            <w:r>
              <w:rPr>
                <w:rFonts w:ascii="Times New Roman" w:hAnsi="Times New Roman" w:eastAsia="宋体" w:cs="Times New Roman"/>
                <w:color w:val="000000"/>
                <w:kern w:val="0"/>
                <w:szCs w:val="24"/>
                <w:lang w:bidi="ar"/>
              </w:rPr>
              <w:t>/a（即0.4m</w:t>
            </w:r>
            <w:r>
              <w:rPr>
                <w:rFonts w:ascii="Times New Roman" w:hAnsi="Times New Roman" w:eastAsia="宋体" w:cs="Times New Roman"/>
                <w:color w:val="000000"/>
                <w:kern w:val="0"/>
                <w:szCs w:val="24"/>
                <w:vertAlign w:val="superscript"/>
                <w:lang w:bidi="ar"/>
              </w:rPr>
              <w:t>3</w:t>
            </w:r>
            <w:r>
              <w:rPr>
                <w:rFonts w:ascii="Times New Roman" w:hAnsi="Times New Roman" w:eastAsia="宋体" w:cs="Times New Roman"/>
                <w:color w:val="000000"/>
                <w:kern w:val="0"/>
                <w:szCs w:val="24"/>
                <w:lang w:bidi="ar"/>
              </w:rPr>
              <w:t>/d），该部分废水属于危险废物（代码：HW49，900-047-49），由危废收集桶进行收集，经暂存后交由资质单位进行处置；其余化学实验室废水属于</w:t>
            </w:r>
            <w:r>
              <w:rPr>
                <w:rFonts w:hAnsi="宋体" w:eastAsia="宋体" w:cs="宋体"/>
                <w:color w:val="000000"/>
                <w:kern w:val="0"/>
                <w:szCs w:val="24"/>
                <w:lang w:bidi="ar"/>
              </w:rPr>
              <w:t>清洗废水，采用污水处理设施进行预处理，拟设计处理设施规模为4m</w:t>
            </w:r>
            <w:r>
              <w:rPr>
                <w:rFonts w:hAnsi="宋体" w:eastAsia="宋体" w:cs="宋体"/>
                <w:color w:val="000000"/>
                <w:kern w:val="0"/>
                <w:szCs w:val="24"/>
                <w:vertAlign w:val="superscript"/>
                <w:lang w:bidi="ar"/>
              </w:rPr>
              <w:t>3</w:t>
            </w:r>
            <w:r>
              <w:rPr>
                <w:rFonts w:hAnsi="宋体" w:eastAsia="宋体" w:cs="宋体"/>
                <w:color w:val="000000"/>
                <w:kern w:val="0"/>
                <w:szCs w:val="24"/>
                <w:lang w:bidi="ar"/>
              </w:rPr>
              <w:t>/d。</w:t>
            </w:r>
            <w:r>
              <w:rPr>
                <w:rFonts w:ascii="Times New Roman" w:hAnsi="Times New Roman"/>
                <w:szCs w:val="24"/>
              </w:rPr>
              <w:t>化学实验室用到的化学药品种类多，但主要的还是常规的酸碱类和有机溶剂，废水中含有酸、碱、有机溶剂、盐类及其它化学品。</w:t>
            </w:r>
          </w:p>
          <w:p>
            <w:pPr>
              <w:pStyle w:val="32"/>
              <w:adjustRightInd/>
              <w:snapToGrid/>
              <w:ind w:firstLine="480" w:firstLineChars="0"/>
              <w:rPr>
                <w:rFonts w:ascii="Times New Roman" w:hAnsi="Times New Roman" w:cs="Times New Roman"/>
                <w:szCs w:val="24"/>
              </w:rPr>
            </w:pPr>
            <w:r>
              <w:rPr>
                <w:rFonts w:ascii="Times New Roman" w:hAnsi="Times New Roman" w:cs="Times New Roman"/>
              </w:rPr>
              <w:t>根据相关资料及参考类似项目可知，化学实验室废水各污染物浓度预计为COD：650mg/L、BOD</w:t>
            </w:r>
            <w:r>
              <w:rPr>
                <w:rFonts w:ascii="Times New Roman" w:hAnsi="Times New Roman" w:cs="Times New Roman"/>
                <w:szCs w:val="24"/>
                <w:vertAlign w:val="subscript"/>
              </w:rPr>
              <w:t>5</w:t>
            </w:r>
            <w:r>
              <w:rPr>
                <w:rFonts w:ascii="Times New Roman" w:hAnsi="Times New Roman" w:cs="Times New Roman"/>
              </w:rPr>
              <w:t>：300mg/L、SS：500mg/L、氨氮：50mg/L，</w:t>
            </w:r>
            <w:r>
              <w:rPr>
                <w:rFonts w:ascii="Times New Roman" w:hAnsi="Times New Roman" w:cs="Times New Roman"/>
                <w:szCs w:val="24"/>
              </w:rPr>
              <w:t>其中pH值会随着实验室课程的开设导致偏酸或偏碱。经自建的化学实验室污水处理设施处理后预计污染物的排放浓度为COD：360mg/L、BOD</w:t>
            </w:r>
            <w:r>
              <w:rPr>
                <w:rFonts w:ascii="Times New Roman" w:hAnsi="Times New Roman" w:cs="Times New Roman"/>
                <w:szCs w:val="24"/>
                <w:vertAlign w:val="subscript"/>
              </w:rPr>
              <w:t>5</w:t>
            </w:r>
            <w:r>
              <w:rPr>
                <w:rFonts w:ascii="Times New Roman" w:hAnsi="Times New Roman" w:cs="Times New Roman"/>
                <w:szCs w:val="24"/>
              </w:rPr>
              <w:t>：150mg/L、SS：100mg/L、氨氮：25mg/L</w:t>
            </w:r>
            <w:r>
              <w:rPr>
                <w:rFonts w:hint="eastAsia" w:ascii="Times New Roman" w:hAnsi="Times New Roman" w:cs="Times New Roman"/>
                <w:szCs w:val="24"/>
              </w:rPr>
              <w:t>。</w:t>
            </w:r>
          </w:p>
          <w:p>
            <w:pPr>
              <w:pStyle w:val="32"/>
              <w:adjustRightInd/>
              <w:snapToGrid/>
              <w:ind w:firstLine="480" w:firstLineChars="0"/>
              <w:rPr>
                <w:rFonts w:ascii="Times New Roman" w:hAnsi="Times New Roman" w:cs="Times New Roman"/>
                <w:b/>
                <w:bCs/>
                <w:szCs w:val="24"/>
              </w:rPr>
            </w:pPr>
            <w:r>
              <w:rPr>
                <w:rFonts w:hint="eastAsia" w:ascii="Times New Roman" w:hAnsi="Times New Roman" w:cs="Times New Roman"/>
                <w:b/>
                <w:bCs/>
                <w:szCs w:val="24"/>
              </w:rPr>
              <w:t>处理措施及排放情况</w:t>
            </w:r>
          </w:p>
          <w:p>
            <w:pPr>
              <w:pStyle w:val="32"/>
              <w:adjustRightInd/>
              <w:snapToGrid/>
              <w:ind w:firstLine="480" w:firstLineChars="0"/>
              <w:rPr>
                <w:rFonts w:ascii="Times New Roman" w:hAnsi="Times New Roman" w:cs="Times New Roman"/>
                <w:szCs w:val="24"/>
              </w:rPr>
            </w:pPr>
            <w:r>
              <w:rPr>
                <w:rFonts w:hint="eastAsia" w:ascii="Times New Roman" w:hAnsi="Times New Roman" w:cs="Times New Roman"/>
              </w:rPr>
              <w:t>化学实验室</w:t>
            </w:r>
            <w:r>
              <w:rPr>
                <w:rFonts w:ascii="Times New Roman" w:hAnsi="Times New Roman" w:cs="Times New Roman"/>
              </w:rPr>
              <w:t>废水</w:t>
            </w:r>
            <w:r>
              <w:rPr>
                <w:rFonts w:hint="eastAsia" w:ascii="Times New Roman" w:hAnsi="Times New Roman" w:cs="Times New Roman"/>
              </w:rPr>
              <w:t>（</w:t>
            </w:r>
            <w:r>
              <w:rPr>
                <w:rFonts w:ascii="Times New Roman" w:hAnsi="Times New Roman" w:cs="Times New Roman"/>
                <w:szCs w:val="24"/>
              </w:rPr>
              <w:t>经自建的化学实验室污水处理设施</w:t>
            </w:r>
            <w:r>
              <w:rPr>
                <w:rFonts w:hint="eastAsia" w:ascii="Times New Roman" w:hAnsi="Times New Roman" w:cs="Times New Roman"/>
                <w:szCs w:val="24"/>
              </w:rPr>
              <w:t>+中和沉淀池</w:t>
            </w:r>
            <w:r>
              <w:rPr>
                <w:rFonts w:ascii="Times New Roman" w:hAnsi="Times New Roman" w:cs="Times New Roman"/>
              </w:rPr>
              <w:t>处理</w:t>
            </w:r>
            <w:r>
              <w:rPr>
                <w:rFonts w:hint="eastAsia" w:ascii="Times New Roman" w:hAnsi="Times New Roman" w:cs="Times New Roman"/>
              </w:rPr>
              <w:t>）同物理实验室废水、生物实验室废水（经消毒沉淀池处理）一同进入化粪池与生活污水一样根据实际分两种情况处理并达标排放。</w:t>
            </w:r>
          </w:p>
          <w:p>
            <w:pPr>
              <w:pStyle w:val="32"/>
              <w:adjustRightInd/>
              <w:snapToGrid/>
              <w:ind w:firstLine="480" w:firstLineChars="0"/>
              <w:rPr>
                <w:rFonts w:ascii="Times New Roman" w:hAnsi="Times New Roman" w:eastAsia="宋体" w:cs="Times New Roman"/>
                <w:szCs w:val="24"/>
              </w:rPr>
            </w:pPr>
            <w:r>
              <w:rPr>
                <w:rFonts w:ascii="Times New Roman" w:hAnsi="Times New Roman" w:cs="Times New Roman"/>
                <w:szCs w:val="24"/>
              </w:rPr>
              <w:t>其中</w:t>
            </w:r>
            <w:r>
              <w:rPr>
                <w:rFonts w:hint="eastAsia" w:ascii="Times New Roman" w:hAnsi="Times New Roman" w:cs="Times New Roman"/>
                <w:szCs w:val="24"/>
              </w:rPr>
              <w:t>化学实验室废水</w:t>
            </w:r>
            <w:r>
              <w:rPr>
                <w:rFonts w:ascii="Times New Roman" w:hAnsi="Times New Roman" w:cs="Times New Roman"/>
                <w:szCs w:val="24"/>
              </w:rPr>
              <w:t>pH经调节至6~9后</w:t>
            </w:r>
            <w:r>
              <w:rPr>
                <w:rFonts w:ascii="Times New Roman" w:hAnsi="Times New Roman" w:cs="Times New Roman"/>
              </w:rPr>
              <w:t>再</w:t>
            </w:r>
            <w:r>
              <w:rPr>
                <w:rFonts w:ascii="Times New Roman" w:hAnsi="Times New Roman" w:cs="Times New Roman"/>
                <w:szCs w:val="24"/>
              </w:rPr>
              <w:t>经</w:t>
            </w:r>
            <w:r>
              <w:rPr>
                <w:rFonts w:hint="eastAsia" w:ascii="Times New Roman" w:hAnsi="Times New Roman" w:cs="Times New Roman"/>
                <w:szCs w:val="24"/>
              </w:rPr>
              <w:t>市</w:t>
            </w:r>
            <w:r>
              <w:rPr>
                <w:rFonts w:ascii="Times New Roman" w:hAnsi="Times New Roman" w:cs="Times New Roman"/>
                <w:szCs w:val="24"/>
              </w:rPr>
              <w:t>政污水管网进入</w:t>
            </w:r>
            <w:r>
              <w:rPr>
                <w:rFonts w:hint="eastAsia" w:ascii="Times New Roman" w:hAnsi="Times New Roman" w:cs="Times New Roman"/>
                <w:szCs w:val="24"/>
              </w:rPr>
              <w:t>化粪池</w:t>
            </w:r>
            <w:r>
              <w:rPr>
                <w:rFonts w:ascii="Times New Roman" w:hAnsi="Times New Roman" w:cs="Times New Roman"/>
                <w:szCs w:val="24"/>
              </w:rPr>
              <w:t>处理，综上所述，本项目实验室废水及各污染物浓度产生和预处理情况</w:t>
            </w:r>
            <w:r>
              <w:rPr>
                <w:rFonts w:hint="eastAsia" w:ascii="Times New Roman" w:hAnsi="Times New Roman" w:cs="Times New Roman"/>
                <w:szCs w:val="24"/>
              </w:rPr>
              <w:t>以及排放</w:t>
            </w:r>
            <w:r>
              <w:rPr>
                <w:rFonts w:ascii="Times New Roman" w:hAnsi="Times New Roman" w:cs="Times New Roman"/>
                <w:szCs w:val="24"/>
              </w:rPr>
              <w:t>统计详见下表。</w:t>
            </w:r>
          </w:p>
          <w:p>
            <w:pPr>
              <w:pStyle w:val="32"/>
              <w:adjustRightInd/>
              <w:snapToGrid/>
              <w:spacing w:line="240" w:lineRule="auto"/>
              <w:ind w:firstLine="0" w:firstLineChars="0"/>
              <w:jc w:val="center"/>
              <w:rPr>
                <w:rFonts w:ascii="Times New Roman" w:hAnsi="Times New Roman" w:cs="Times New Roman"/>
                <w:b/>
                <w:sz w:val="21"/>
                <w:szCs w:val="21"/>
              </w:rPr>
            </w:pPr>
            <w:r>
              <w:rPr>
                <w:rFonts w:ascii="Times New Roman" w:hAnsi="Times New Roman" w:cs="Times New Roman"/>
                <w:b/>
                <w:bCs/>
              </w:rPr>
              <w:t>表5-13  实验室废水及污染物预处理情况一览表</w:t>
            </w:r>
          </w:p>
          <w:tbl>
            <w:tblPr>
              <w:tblStyle w:val="23"/>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717"/>
              <w:gridCol w:w="983"/>
              <w:gridCol w:w="1135"/>
              <w:gridCol w:w="1135"/>
              <w:gridCol w:w="1558"/>
              <w:gridCol w:w="1987"/>
              <w:gridCol w:w="791"/>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产生环节</w:t>
                  </w:r>
                </w:p>
              </w:tc>
              <w:tc>
                <w:tcPr>
                  <w:tcW w:w="592"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指标</w:t>
                  </w:r>
                </w:p>
              </w:tc>
              <w:tc>
                <w:tcPr>
                  <w:tcW w:w="683"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产生浓度(mg/L)</w:t>
                  </w:r>
                </w:p>
              </w:tc>
              <w:tc>
                <w:tcPr>
                  <w:tcW w:w="683"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年产生量（</w:t>
                  </w:r>
                  <w:r>
                    <w:rPr>
                      <w:rFonts w:hint="eastAsia" w:ascii="Times New Roman" w:hAnsi="Times New Roman" w:cs="Times New Roman"/>
                      <w:b/>
                      <w:bCs/>
                      <w:sz w:val="21"/>
                      <w:szCs w:val="21"/>
                    </w:rPr>
                    <w:t>t</w:t>
                  </w:r>
                  <w:r>
                    <w:rPr>
                      <w:rFonts w:ascii="Times New Roman" w:hAnsi="Times New Roman" w:cs="Times New Roman"/>
                      <w:b/>
                      <w:bCs/>
                      <w:sz w:val="21"/>
                      <w:szCs w:val="21"/>
                    </w:rPr>
                    <w:t>/a）</w:t>
                  </w:r>
                </w:p>
              </w:tc>
              <w:tc>
                <w:tcPr>
                  <w:tcW w:w="938"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预处理后浓度</w:t>
                  </w:r>
                </w:p>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(mg/L)</w:t>
                  </w:r>
                </w:p>
              </w:tc>
              <w:tc>
                <w:tcPr>
                  <w:tcW w:w="1196"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预处理后年排放量</w:t>
                  </w:r>
                </w:p>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（t/a）</w:t>
                  </w:r>
                </w:p>
              </w:tc>
              <w:tc>
                <w:tcPr>
                  <w:tcW w:w="476" w:type="pct"/>
                  <w:tcBorders>
                    <w:bottom w:val="single" w:color="000000" w:sz="12" w:space="0"/>
                  </w:tcBorders>
                  <w:vAlign w:val="center"/>
                </w:tcPr>
                <w:p>
                  <w:pPr>
                    <w:spacing w:line="240" w:lineRule="auto"/>
                    <w:jc w:val="center"/>
                    <w:rPr>
                      <w:rFonts w:ascii="Times New Roman" w:hAnsi="Times New Roman" w:eastAsia="宋体" w:cs="Times New Roman"/>
                      <w:b/>
                      <w:bCs/>
                      <w:sz w:val="21"/>
                      <w:szCs w:val="21"/>
                    </w:rPr>
                  </w:pPr>
                  <w:r>
                    <w:rPr>
                      <w:rFonts w:ascii="Times New Roman" w:hAnsi="Times New Roman" w:cs="Times New Roman"/>
                      <w:b/>
                      <w:bCs/>
                      <w:sz w:val="21"/>
                      <w:szCs w:val="21"/>
                    </w:rPr>
                    <w:t>备注</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restart"/>
                  <w:tcBorders>
                    <w:top w:val="single" w:color="000000"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化学实验室废水</w:t>
                  </w:r>
                </w:p>
              </w:tc>
              <w:tc>
                <w:tcPr>
                  <w:tcW w:w="592"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水量</w:t>
                  </w:r>
                </w:p>
              </w:tc>
              <w:tc>
                <w:tcPr>
                  <w:tcW w:w="683"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683"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cs="Times New Roman"/>
                      <w:sz w:val="21"/>
                      <w:szCs w:val="21"/>
                    </w:rPr>
                    <w:t>10</w:t>
                  </w:r>
                  <w:r>
                    <w:rPr>
                      <w:rFonts w:hint="eastAsia" w:ascii="Times New Roman" w:hAnsi="Times New Roman" w:cs="Times New Roman"/>
                      <w:sz w:val="21"/>
                      <w:szCs w:val="21"/>
                    </w:rPr>
                    <w:t>00</w:t>
                  </w:r>
                </w:p>
              </w:tc>
              <w:tc>
                <w:tcPr>
                  <w:tcW w:w="938"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1196"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hint="eastAsia" w:ascii="Times New Roman" w:hAnsi="Times New Roman" w:cs="Times New Roman"/>
                      <w:sz w:val="21"/>
                      <w:szCs w:val="21"/>
                    </w:rPr>
                    <w:t>800</w:t>
                  </w:r>
                </w:p>
              </w:tc>
              <w:tc>
                <w:tcPr>
                  <w:tcW w:w="476" w:type="pct"/>
                  <w:vMerge w:val="restar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cs="Times New Roman"/>
                      <w:sz w:val="21"/>
                      <w:szCs w:val="21"/>
                    </w:rPr>
                    <w:t>化学实验室污水处理设施</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eastAsia="宋体"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cs="Times New Roman"/>
                      <w:sz w:val="21"/>
                      <w:szCs w:val="21"/>
                      <w:u w:val="single"/>
                    </w:rPr>
                    <w:t>pH</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9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cs="Times New Roman"/>
                      <w:sz w:val="21"/>
                      <w:szCs w:val="21"/>
                      <w:u w:val="single"/>
                    </w:rPr>
                    <w:t>6~9</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cs="Times New Roman"/>
                      <w:sz w:val="21"/>
                      <w:szCs w:val="21"/>
                      <w:u w:val="single"/>
                    </w:rPr>
                    <w:t>/</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COD</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650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0.65</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360</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0.288</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BOD</w:t>
                  </w:r>
                  <w:r>
                    <w:rPr>
                      <w:rFonts w:ascii="Times New Roman" w:hAnsi="Times New Roman" w:eastAsia="宋体" w:cs="Times New Roman"/>
                      <w:kern w:val="0"/>
                      <w:sz w:val="21"/>
                      <w:szCs w:val="21"/>
                      <w:vertAlign w:val="subscript"/>
                      <w:lang w:bidi="ar"/>
                    </w:rPr>
                    <w:t>5</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300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0.3</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150</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0.12</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SS</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500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0.5</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100</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0.08</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NH</w:t>
                  </w:r>
                  <w:r>
                    <w:rPr>
                      <w:rFonts w:ascii="Times New Roman" w:hAnsi="Times New Roman" w:eastAsia="宋体" w:cs="Times New Roman"/>
                      <w:kern w:val="0"/>
                      <w:sz w:val="21"/>
                      <w:szCs w:val="21"/>
                      <w:vertAlign w:val="subscript"/>
                      <w:lang w:bidi="ar"/>
                    </w:rPr>
                    <w:t>3</w:t>
                  </w:r>
                  <w:r>
                    <w:rPr>
                      <w:rFonts w:ascii="Times New Roman" w:hAnsi="Times New Roman" w:eastAsia="宋体" w:cs="Times New Roman"/>
                      <w:kern w:val="0"/>
                      <w:sz w:val="21"/>
                      <w:szCs w:val="21"/>
                      <w:lang w:bidi="ar"/>
                    </w:rPr>
                    <w:t>-N</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50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0.05</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25</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0.02</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restar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生物实验室</w:t>
                  </w: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水量</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r>
                    <w:rPr>
                      <w:rFonts w:ascii="Times New Roman" w:hAnsi="Times New Roman" w:eastAsia="宋体" w:cs="Times New Roman"/>
                      <w:sz w:val="21"/>
                      <w:szCs w:val="21"/>
                    </w:rPr>
                    <w:t>00</w:t>
                  </w:r>
                </w:p>
              </w:tc>
              <w:tc>
                <w:tcPr>
                  <w:tcW w:w="9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hint="eastAsia" w:ascii="Times New Roman" w:hAnsi="Times New Roman" w:eastAsia="宋体" w:cs="Times New Roman"/>
                      <w:kern w:val="0"/>
                      <w:sz w:val="21"/>
                      <w:szCs w:val="21"/>
                      <w:lang w:bidi="ar"/>
                    </w:rPr>
                    <w:t>320</w:t>
                  </w:r>
                </w:p>
              </w:tc>
              <w:tc>
                <w:tcPr>
                  <w:tcW w:w="476" w:type="pct"/>
                  <w:vMerge w:val="restar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cs="Times New Roman"/>
                      <w:sz w:val="21"/>
                      <w:szCs w:val="21"/>
                    </w:rPr>
                    <w:t>消毒沉淀池+化粪池</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COD</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315</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0.126</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267.75</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0.0857</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BOD</w:t>
                  </w:r>
                  <w:r>
                    <w:rPr>
                      <w:rFonts w:ascii="Times New Roman" w:hAnsi="Times New Roman" w:eastAsia="宋体" w:cs="Times New Roman"/>
                      <w:kern w:val="0"/>
                      <w:sz w:val="21"/>
                      <w:szCs w:val="21"/>
                      <w:vertAlign w:val="subscript"/>
                      <w:lang w:bidi="ar"/>
                    </w:rPr>
                    <w:t>5</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225</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0.09</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202.5</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0.0648</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SS</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190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0.076</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133</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0.0423</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NH</w:t>
                  </w:r>
                  <w:r>
                    <w:rPr>
                      <w:rFonts w:ascii="Times New Roman" w:hAnsi="Times New Roman" w:eastAsia="宋体" w:cs="Times New Roman"/>
                      <w:kern w:val="0"/>
                      <w:sz w:val="21"/>
                      <w:szCs w:val="21"/>
                      <w:vertAlign w:val="subscript"/>
                      <w:lang w:bidi="ar"/>
                    </w:rPr>
                    <w:t>3</w:t>
                  </w:r>
                  <w:r>
                    <w:rPr>
                      <w:rFonts w:ascii="Times New Roman" w:hAnsi="Times New Roman" w:eastAsia="宋体" w:cs="Times New Roman"/>
                      <w:kern w:val="0"/>
                      <w:sz w:val="21"/>
                      <w:szCs w:val="21"/>
                      <w:lang w:bidi="ar"/>
                    </w:rPr>
                    <w:t>-N</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0.012</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29.1</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0.0093</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restar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物理实验室</w:t>
                  </w: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水量</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683"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4</w:t>
                  </w:r>
                  <w:r>
                    <w:rPr>
                      <w:rFonts w:ascii="Times New Roman" w:hAnsi="Times New Roman" w:eastAsia="宋体" w:cs="Times New Roman"/>
                      <w:sz w:val="21"/>
                      <w:szCs w:val="21"/>
                    </w:rPr>
                    <w:t>00</w:t>
                  </w:r>
                </w:p>
              </w:tc>
              <w:tc>
                <w:tcPr>
                  <w:tcW w:w="9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320</w:t>
                  </w:r>
                </w:p>
              </w:tc>
              <w:tc>
                <w:tcPr>
                  <w:tcW w:w="476" w:type="pct"/>
                  <w:vMerge w:val="restar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cs="Times New Roman"/>
                      <w:sz w:val="21"/>
                      <w:szCs w:val="21"/>
                    </w:rPr>
                    <w:t>化粪池</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COD</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315</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0.126</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267.75</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0.0857</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BOD</w:t>
                  </w:r>
                  <w:r>
                    <w:rPr>
                      <w:rFonts w:ascii="Times New Roman" w:hAnsi="Times New Roman" w:eastAsia="宋体" w:cs="Times New Roman"/>
                      <w:kern w:val="0"/>
                      <w:sz w:val="21"/>
                      <w:szCs w:val="21"/>
                      <w:vertAlign w:val="subscript"/>
                      <w:lang w:bidi="ar"/>
                    </w:rPr>
                    <w:t>5</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225</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0.09</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2</w:t>
                  </w:r>
                  <w:r>
                    <w:rPr>
                      <w:rFonts w:ascii="Times New Roman" w:hAnsi="Times New Roman" w:eastAsia="宋体" w:cs="Times New Roman"/>
                      <w:sz w:val="21"/>
                      <w:szCs w:val="21"/>
                    </w:rPr>
                    <w:t>02.5</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0.0648</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SS</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190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0.076</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hint="eastAsia" w:ascii="Times New Roman" w:hAnsi="Times New Roman" w:eastAsia="宋体" w:cs="Times New Roman"/>
                      <w:sz w:val="21"/>
                      <w:szCs w:val="21"/>
                    </w:rPr>
                    <w:t>1</w:t>
                  </w:r>
                  <w:r>
                    <w:rPr>
                      <w:rFonts w:ascii="Times New Roman" w:hAnsi="Times New Roman" w:eastAsia="宋体" w:cs="Times New Roman"/>
                      <w:sz w:val="21"/>
                      <w:szCs w:val="21"/>
                    </w:rPr>
                    <w:t>33</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0.0423</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432" w:type="pct"/>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592"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NH</w:t>
                  </w:r>
                  <w:r>
                    <w:rPr>
                      <w:rFonts w:ascii="Times New Roman" w:hAnsi="Times New Roman" w:eastAsia="宋体" w:cs="Times New Roman"/>
                      <w:kern w:val="0"/>
                      <w:sz w:val="21"/>
                      <w:szCs w:val="21"/>
                      <w:vertAlign w:val="subscript"/>
                      <w:lang w:bidi="ar"/>
                    </w:rPr>
                    <w:t>3</w:t>
                  </w:r>
                  <w:r>
                    <w:rPr>
                      <w:rFonts w:ascii="Times New Roman" w:hAnsi="Times New Roman" w:eastAsia="宋体" w:cs="Times New Roman"/>
                      <w:kern w:val="0"/>
                      <w:sz w:val="21"/>
                      <w:szCs w:val="21"/>
                      <w:lang w:bidi="ar"/>
                    </w:rPr>
                    <w:t>-N</w:t>
                  </w:r>
                </w:p>
              </w:tc>
              <w:tc>
                <w:tcPr>
                  <w:tcW w:w="683"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30</w:t>
                  </w:r>
                </w:p>
              </w:tc>
              <w:tc>
                <w:tcPr>
                  <w:tcW w:w="683"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0.012</w:t>
                  </w:r>
                </w:p>
              </w:tc>
              <w:tc>
                <w:tcPr>
                  <w:tcW w:w="9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29.1</w:t>
                  </w:r>
                </w:p>
              </w:tc>
              <w:tc>
                <w:tcPr>
                  <w:tcW w:w="119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r>
                    <w:rPr>
                      <w:rFonts w:ascii="Times New Roman" w:hAnsi="Times New Roman" w:eastAsia="宋体" w:cs="Times New Roman"/>
                      <w:kern w:val="0"/>
                      <w:sz w:val="21"/>
                      <w:szCs w:val="21"/>
                      <w:lang w:bidi="ar"/>
                    </w:rPr>
                    <w:t>0.0093</w:t>
                  </w:r>
                </w:p>
              </w:tc>
              <w:tc>
                <w:tcPr>
                  <w:tcW w:w="476" w:type="pct"/>
                  <w:vMerge w:val="continue"/>
                  <w:tcBorders>
                    <w:tl2br w:val="nil"/>
                    <w:tr2bl w:val="nil"/>
                  </w:tcBorders>
                  <w:vAlign w:val="center"/>
                </w:tcPr>
                <w:p>
                  <w:pPr>
                    <w:widowControl/>
                    <w:spacing w:line="240" w:lineRule="auto"/>
                    <w:jc w:val="center"/>
                    <w:textAlignment w:val="center"/>
                    <w:rPr>
                      <w:rFonts w:ascii="Times New Roman" w:hAnsi="Times New Roman" w:cs="Times New Roman"/>
                      <w:sz w:val="21"/>
                      <w:szCs w:val="21"/>
                    </w:rPr>
                  </w:pPr>
                </w:p>
              </w:tc>
            </w:tr>
          </w:tbl>
          <w:p>
            <w:pPr>
              <w:pStyle w:val="32"/>
              <w:ind w:firstLine="480"/>
              <w:rPr>
                <w:rFonts w:eastAsia="宋体"/>
              </w:rPr>
            </w:pPr>
            <w:r>
              <w:t>（4）综合废水</w:t>
            </w:r>
          </w:p>
          <w:p>
            <w:pPr>
              <w:pStyle w:val="32"/>
              <w:ind w:firstLine="482"/>
              <w:rPr>
                <w:b/>
                <w:bCs/>
                <w:szCs w:val="24"/>
              </w:rPr>
            </w:pPr>
            <w:r>
              <w:rPr>
                <w:rFonts w:hint="eastAsia"/>
                <w:b/>
                <w:bCs/>
                <w:szCs w:val="24"/>
              </w:rPr>
              <w:t>项目所在地污水管网及排污口情况：</w:t>
            </w:r>
          </w:p>
          <w:p>
            <w:pPr>
              <w:pStyle w:val="32"/>
              <w:ind w:firstLine="480"/>
              <w:rPr>
                <w:szCs w:val="24"/>
                <w:u w:val="single"/>
              </w:rPr>
            </w:pPr>
            <w:r>
              <w:rPr>
                <w:rFonts w:hint="eastAsia"/>
                <w:szCs w:val="24"/>
                <w:u w:val="single"/>
              </w:rPr>
              <w:t>由</w:t>
            </w:r>
            <w:r>
              <w:rPr>
                <w:szCs w:val="24"/>
                <w:u w:val="single"/>
              </w:rPr>
              <w:t>岳阳市经济技术开发区污水管网分布图</w:t>
            </w:r>
            <w:r>
              <w:rPr>
                <w:rFonts w:hint="eastAsia"/>
                <w:szCs w:val="24"/>
                <w:u w:val="single"/>
              </w:rPr>
              <w:t>（见附图8）可知，项目所在地污水管网已建设完成，但在长康路与岳阳大道交叉路口处的管网未接通污水处理厂，目前经开区的污水管网正在完善、修建，待项目运行后，污水排到污水处理厂处理的可能性比较大。项目所在地片区的污水通过已建的污水管网排至北港河，此排污口已存在，本项目无需新建排污口。</w:t>
            </w:r>
          </w:p>
          <w:p>
            <w:pPr>
              <w:pStyle w:val="32"/>
              <w:adjustRightInd/>
              <w:snapToGrid/>
              <w:ind w:firstLine="480"/>
              <w:rPr>
                <w:rFonts w:ascii="Times New Roman" w:hAnsi="Times New Roman" w:cs="Times New Roman"/>
                <w:szCs w:val="24"/>
              </w:rPr>
            </w:pPr>
            <w:r>
              <w:rPr>
                <w:szCs w:val="24"/>
              </w:rPr>
              <w:fldChar w:fldCharType="begin"/>
            </w:r>
            <w:r>
              <w:rPr>
                <w:szCs w:val="24"/>
              </w:rPr>
              <w:instrText xml:space="preserve"> </w:instrText>
            </w:r>
            <w:r>
              <w:rPr>
                <w:rFonts w:hint="eastAsia"/>
                <w:szCs w:val="24"/>
              </w:rPr>
              <w:instrText xml:space="preserve">= 1 \* GB3</w:instrText>
            </w:r>
            <w:r>
              <w:rPr>
                <w:szCs w:val="24"/>
              </w:rPr>
              <w:instrText xml:space="preserve"> </w:instrText>
            </w:r>
            <w:r>
              <w:rPr>
                <w:szCs w:val="24"/>
              </w:rPr>
              <w:fldChar w:fldCharType="separate"/>
            </w:r>
            <w:r>
              <w:rPr>
                <w:rFonts w:hint="eastAsia"/>
                <w:szCs w:val="24"/>
              </w:rPr>
              <w:t>①</w:t>
            </w:r>
            <w:r>
              <w:rPr>
                <w:szCs w:val="24"/>
              </w:rPr>
              <w:fldChar w:fldCharType="end"/>
            </w:r>
            <w:r>
              <w:rPr>
                <w:rFonts w:hint="eastAsia"/>
                <w:szCs w:val="24"/>
              </w:rPr>
              <w:t>如建设过程中（运营前）污水管网未与罗家坡污水处理厂接通，则本项目污水需经过各自的预处理后统一进入化粪池处理后进入污水处理站处理达标后先排入北港河最终排至南湖</w:t>
            </w:r>
          </w:p>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污水处理站综合废水排放情况</w:t>
            </w:r>
          </w:p>
          <w:p>
            <w:pPr>
              <w:spacing w:line="360" w:lineRule="auto"/>
              <w:ind w:firstLine="480" w:firstLineChars="200"/>
              <w:jc w:val="left"/>
              <w:rPr>
                <w:rFonts w:ascii="Times New Roman" w:hAnsi="Times New Roman" w:eastAsia="宋体"/>
                <w:u w:val="single"/>
              </w:rPr>
            </w:pPr>
            <w:r>
              <w:rPr>
                <w:rFonts w:hint="eastAsia" w:ascii="宋体" w:hAnsi="宋体" w:eastAsia="宋体" w:cs="宋体"/>
                <w:u w:val="single"/>
              </w:rPr>
              <w:t>（1）处理量</w:t>
            </w:r>
          </w:p>
          <w:p>
            <w:pPr>
              <w:spacing w:line="360" w:lineRule="auto"/>
              <w:ind w:firstLine="480" w:firstLineChars="200"/>
              <w:jc w:val="left"/>
              <w:rPr>
                <w:rFonts w:ascii="Times New Roman" w:hAnsi="Times New Roman" w:eastAsia="宋体"/>
                <w:szCs w:val="24"/>
                <w:u w:val="single"/>
              </w:rPr>
            </w:pPr>
            <w:r>
              <w:rPr>
                <w:rFonts w:hint="eastAsia" w:ascii="Times New Roman" w:hAnsi="Times New Roman" w:eastAsia="宋体"/>
                <w:szCs w:val="24"/>
                <w:u w:val="single"/>
              </w:rPr>
              <w:t>本项目的污水处理站设施共处理污水约</w:t>
            </w:r>
            <w:r>
              <w:rPr>
                <w:rFonts w:ascii="Times New Roman" w:hAnsi="Times New Roman" w:eastAsia="宋体"/>
                <w:szCs w:val="24"/>
                <w:u w:val="single"/>
              </w:rPr>
              <w:t>227.52</w:t>
            </w:r>
            <w:r>
              <w:rPr>
                <w:rFonts w:hint="eastAsia" w:ascii="Times New Roman" w:hAnsi="Times New Roman" w:eastAsia="宋体"/>
                <w:szCs w:val="24"/>
                <w:u w:val="single"/>
              </w:rPr>
              <w:t>m³/d（4</w:t>
            </w:r>
            <w:r>
              <w:rPr>
                <w:rFonts w:ascii="Times New Roman" w:hAnsi="Times New Roman" w:eastAsia="宋体"/>
                <w:szCs w:val="24"/>
                <w:u w:val="single"/>
              </w:rPr>
              <w:t>5504m</w:t>
            </w:r>
            <w:r>
              <w:rPr>
                <w:rFonts w:ascii="Times New Roman" w:hAnsi="Times New Roman" w:eastAsia="宋体"/>
                <w:szCs w:val="24"/>
                <w:u w:val="single"/>
                <w:vertAlign w:val="superscript"/>
              </w:rPr>
              <w:t>3</w:t>
            </w:r>
            <w:r>
              <w:rPr>
                <w:rFonts w:ascii="Times New Roman" w:hAnsi="Times New Roman" w:eastAsia="宋体"/>
                <w:szCs w:val="24"/>
                <w:u w:val="single"/>
              </w:rPr>
              <w:t>/a</w:t>
            </w:r>
            <w:r>
              <w:rPr>
                <w:rFonts w:hint="eastAsia" w:ascii="Times New Roman" w:hAnsi="Times New Roman" w:eastAsia="宋体"/>
                <w:szCs w:val="24"/>
                <w:u w:val="single"/>
              </w:rPr>
              <w:t>）。污水处理站（设计规模3</w:t>
            </w:r>
            <w:r>
              <w:rPr>
                <w:rFonts w:ascii="Times New Roman" w:hAnsi="Times New Roman" w:eastAsia="宋体"/>
                <w:szCs w:val="24"/>
                <w:u w:val="single"/>
              </w:rPr>
              <w:t>00m</w:t>
            </w:r>
            <w:r>
              <w:rPr>
                <w:rFonts w:ascii="Times New Roman" w:hAnsi="Times New Roman" w:eastAsia="宋体"/>
                <w:szCs w:val="24"/>
                <w:u w:val="single"/>
                <w:vertAlign w:val="superscript"/>
              </w:rPr>
              <w:t>3</w:t>
            </w:r>
            <w:r>
              <w:rPr>
                <w:rFonts w:ascii="Times New Roman" w:hAnsi="Times New Roman" w:eastAsia="宋体"/>
                <w:szCs w:val="24"/>
                <w:u w:val="single"/>
              </w:rPr>
              <w:t>/d</w:t>
            </w:r>
            <w:r>
              <w:rPr>
                <w:rFonts w:hint="eastAsia" w:ascii="Times New Roman" w:hAnsi="Times New Roman" w:eastAsia="宋体"/>
                <w:szCs w:val="24"/>
                <w:u w:val="single"/>
              </w:rPr>
              <w:t>）处理污水情况见下表：</w:t>
            </w:r>
          </w:p>
          <w:p>
            <w:pPr>
              <w:pStyle w:val="21"/>
              <w:spacing w:line="240" w:lineRule="auto"/>
              <w:ind w:firstLine="241"/>
              <w:jc w:val="center"/>
              <w:rPr>
                <w:rFonts w:ascii="Times New Roman" w:hAnsi="Times New Roman" w:eastAsia="宋体"/>
                <w:b/>
                <w:bCs/>
                <w:u w:val="single"/>
              </w:rPr>
            </w:pPr>
            <w:r>
              <w:rPr>
                <w:rFonts w:hint="eastAsia" w:ascii="Times New Roman" w:hAnsi="Times New Roman" w:eastAsia="宋体"/>
                <w:b/>
                <w:bCs/>
                <w:szCs w:val="24"/>
                <w:u w:val="single"/>
              </w:rPr>
              <w:t>表5-</w:t>
            </w:r>
            <w:r>
              <w:rPr>
                <w:rFonts w:ascii="Times New Roman" w:hAnsi="Times New Roman" w:eastAsia="宋体"/>
                <w:b/>
                <w:bCs/>
                <w:szCs w:val="24"/>
                <w:u w:val="single"/>
              </w:rPr>
              <w:t>14  污水处理站综合废水处理情况一览表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8"/>
              <w:gridCol w:w="996"/>
              <w:gridCol w:w="954"/>
              <w:gridCol w:w="1056"/>
              <w:gridCol w:w="999"/>
              <w:gridCol w:w="104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961" w:type="pct"/>
                  <w:gridSpan w:val="2"/>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污染指标</w:t>
                  </w:r>
                </w:p>
              </w:tc>
              <w:tc>
                <w:tcPr>
                  <w:tcW w:w="596" w:type="pct"/>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COD</w:t>
                  </w:r>
                  <w:r>
                    <w:rPr>
                      <w:rFonts w:ascii="Times New Roman" w:hAnsi="Times New Roman" w:eastAsia="宋体" w:cs="Times New Roman"/>
                      <w:b/>
                      <w:bCs/>
                      <w:sz w:val="21"/>
                      <w:u w:val="single"/>
                      <w:vertAlign w:val="subscript"/>
                    </w:rPr>
                    <w:t>Cr</w:t>
                  </w:r>
                </w:p>
              </w:tc>
              <w:tc>
                <w:tcPr>
                  <w:tcW w:w="575" w:type="pct"/>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BOD</w:t>
                  </w:r>
                  <w:r>
                    <w:rPr>
                      <w:rFonts w:ascii="Times New Roman" w:hAnsi="Times New Roman" w:eastAsia="宋体" w:cs="Times New Roman"/>
                      <w:b/>
                      <w:bCs/>
                      <w:sz w:val="21"/>
                      <w:u w:val="single"/>
                      <w:vertAlign w:val="subscript"/>
                    </w:rPr>
                    <w:t>5</w:t>
                  </w:r>
                </w:p>
              </w:tc>
              <w:tc>
                <w:tcPr>
                  <w:tcW w:w="636" w:type="pct"/>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悬浮物</w:t>
                  </w:r>
                </w:p>
              </w:tc>
              <w:tc>
                <w:tcPr>
                  <w:tcW w:w="602" w:type="pct"/>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氨氮</w:t>
                  </w:r>
                </w:p>
              </w:tc>
              <w:tc>
                <w:tcPr>
                  <w:tcW w:w="631" w:type="pct"/>
                  <w:vAlign w:val="center"/>
                </w:tcPr>
                <w:p>
                  <w:pPr>
                    <w:pStyle w:val="8"/>
                    <w:spacing w:line="240" w:lineRule="auto"/>
                    <w:ind w:firstLine="0" w:firstLineChars="0"/>
                    <w:jc w:val="center"/>
                    <w:rPr>
                      <w:rFonts w:ascii="Times New Roman" w:hAnsi="Times New Roman" w:eastAsia="宋体" w:cs="Times New Roman"/>
                      <w:b/>
                      <w:bCs/>
                      <w:sz w:val="21"/>
                      <w:u w:val="single"/>
                    </w:rPr>
                  </w:pPr>
                  <w:r>
                    <w:rPr>
                      <w:rFonts w:ascii="Times New Roman" w:hAnsi="Times New Roman" w:eastAsia="宋体" w:cs="Times New Roman"/>
                      <w:b/>
                      <w:bCs/>
                      <w:sz w:val="21"/>
                      <w:u w:val="single"/>
                    </w:rPr>
                    <w:t>动植物油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12" w:type="pct"/>
                  <w:vMerge w:val="restart"/>
                  <w:vAlign w:val="center"/>
                </w:tcPr>
                <w:p>
                  <w:pPr>
                    <w:pStyle w:val="8"/>
                    <w:spacing w:line="240" w:lineRule="auto"/>
                    <w:ind w:firstLine="0" w:firstLineChars="0"/>
                    <w:jc w:val="center"/>
                    <w:rPr>
                      <w:rFonts w:ascii="Times New Roman" w:hAnsi="Times New Roman" w:eastAsia="宋体" w:cs="Times New Roman"/>
                      <w:sz w:val="21"/>
                      <w:u w:val="single"/>
                    </w:rPr>
                  </w:pPr>
                  <w:r>
                    <w:rPr>
                      <w:rFonts w:hint="eastAsia" w:ascii="Times New Roman" w:hAnsi="Times New Roman" w:eastAsia="宋体" w:cs="Times New Roman"/>
                      <w:sz w:val="21"/>
                      <w:u w:val="single"/>
                    </w:rPr>
                    <w:t>处理污水量</w:t>
                  </w:r>
                </w:p>
                <w:p>
                  <w:pPr>
                    <w:pStyle w:val="8"/>
                    <w:spacing w:line="240" w:lineRule="auto"/>
                    <w:ind w:firstLine="0" w:firstLineChars="0"/>
                    <w:jc w:val="center"/>
                    <w:rPr>
                      <w:rFonts w:ascii="Times New Roman" w:hAnsi="Times New Roman" w:eastAsia="宋体" w:cs="Times New Roman"/>
                      <w:sz w:val="21"/>
                      <w:u w:val="single"/>
                    </w:rPr>
                  </w:pPr>
                  <w:r>
                    <w:rPr>
                      <w:rFonts w:ascii="Times New Roman" w:hAnsi="Times New Roman" w:eastAsia="宋体" w:cs="Times New Roman"/>
                      <w:sz w:val="21"/>
                      <w:u w:val="single"/>
                    </w:rPr>
                    <w:t>45504</w:t>
                  </w:r>
                  <w:r>
                    <w:rPr>
                      <w:rFonts w:hint="eastAsia" w:ascii="Times New Roman" w:hAnsi="Times New Roman" w:eastAsia="宋体" w:cs="Times New Roman"/>
                      <w:sz w:val="21"/>
                      <w:u w:val="single"/>
                    </w:rPr>
                    <w:t>m³/a</w:t>
                  </w:r>
                </w:p>
              </w:tc>
              <w:tc>
                <w:tcPr>
                  <w:tcW w:w="1149" w:type="pct"/>
                  <w:vAlign w:val="center"/>
                </w:tcPr>
                <w:p>
                  <w:pPr>
                    <w:pStyle w:val="8"/>
                    <w:spacing w:line="240" w:lineRule="auto"/>
                    <w:ind w:firstLine="0" w:firstLineChars="0"/>
                    <w:jc w:val="center"/>
                    <w:rPr>
                      <w:rFonts w:ascii="Times New Roman" w:hAnsi="Times New Roman" w:eastAsia="宋体" w:cs="Times New Roman"/>
                      <w:sz w:val="21"/>
                      <w:u w:val="single"/>
                    </w:rPr>
                  </w:pPr>
                  <w:r>
                    <w:rPr>
                      <w:rFonts w:hint="eastAsia" w:ascii="Times New Roman" w:hAnsi="Times New Roman" w:eastAsia="宋体" w:cs="Times New Roman"/>
                      <w:sz w:val="21"/>
                      <w:u w:val="single"/>
                    </w:rPr>
                    <w:t>进水浓度</w:t>
                  </w:r>
                  <w:r>
                    <w:rPr>
                      <w:rFonts w:ascii="Times New Roman" w:hAnsi="Times New Roman" w:eastAsia="宋体" w:cs="Times New Roman"/>
                      <w:sz w:val="21"/>
                      <w:u w:val="single"/>
                    </w:rPr>
                    <w:t>(mg/L)</w:t>
                  </w:r>
                </w:p>
              </w:tc>
              <w:tc>
                <w:tcPr>
                  <w:tcW w:w="596" w:type="pct"/>
                  <w:vAlign w:val="center"/>
                </w:tcPr>
                <w:p>
                  <w:pPr>
                    <w:spacing w:line="240" w:lineRule="auto"/>
                    <w:jc w:val="center"/>
                    <w:rPr>
                      <w:rFonts w:ascii="Times New Roman" w:hAnsi="Times New Roman" w:eastAsia="宋体" w:cs="Times New Roman"/>
                      <w:sz w:val="21"/>
                      <w:u w:val="single"/>
                    </w:rPr>
                  </w:pPr>
                  <w:r>
                    <w:rPr>
                      <w:rFonts w:ascii="Times New Roman" w:hAnsi="Times New Roman" w:eastAsia="宋体" w:cs="Times New Roman"/>
                      <w:color w:val="000000"/>
                      <w:szCs w:val="21"/>
                      <w:u w:val="single"/>
                    </w:rPr>
                    <w:t>261</w:t>
                  </w:r>
                </w:p>
              </w:tc>
              <w:tc>
                <w:tcPr>
                  <w:tcW w:w="575" w:type="pct"/>
                  <w:vAlign w:val="center"/>
                </w:tcPr>
                <w:p>
                  <w:pPr>
                    <w:spacing w:line="240" w:lineRule="auto"/>
                    <w:jc w:val="center"/>
                    <w:rPr>
                      <w:rFonts w:ascii="Times New Roman" w:hAnsi="Times New Roman" w:eastAsia="宋体" w:cs="Times New Roman"/>
                      <w:sz w:val="21"/>
                      <w:u w:val="single"/>
                    </w:rPr>
                  </w:pPr>
                  <w:r>
                    <w:rPr>
                      <w:rFonts w:ascii="Times New Roman" w:hAnsi="Times New Roman" w:eastAsia="宋体" w:cs="Times New Roman"/>
                      <w:color w:val="000000"/>
                      <w:szCs w:val="21"/>
                      <w:u w:val="single"/>
                    </w:rPr>
                    <w:t>178.6</w:t>
                  </w:r>
                </w:p>
              </w:tc>
              <w:tc>
                <w:tcPr>
                  <w:tcW w:w="636" w:type="pct"/>
                  <w:vAlign w:val="center"/>
                </w:tcPr>
                <w:p>
                  <w:pPr>
                    <w:spacing w:line="240" w:lineRule="auto"/>
                    <w:jc w:val="center"/>
                    <w:rPr>
                      <w:rFonts w:ascii="Times New Roman" w:hAnsi="Times New Roman" w:eastAsia="宋体" w:cs="Times New Roman"/>
                      <w:sz w:val="21"/>
                      <w:u w:val="single"/>
                    </w:rPr>
                  </w:pPr>
                  <w:r>
                    <w:rPr>
                      <w:rFonts w:hint="eastAsia" w:ascii="Times New Roman" w:hAnsi="Times New Roman" w:eastAsia="宋体" w:cs="Times New Roman"/>
                      <w:u w:val="single"/>
                    </w:rPr>
                    <w:t>1</w:t>
                  </w:r>
                  <w:r>
                    <w:rPr>
                      <w:rFonts w:ascii="Times New Roman" w:hAnsi="Times New Roman" w:eastAsia="宋体" w:cs="Times New Roman"/>
                      <w:u w:val="single"/>
                    </w:rPr>
                    <w:t>50.3</w:t>
                  </w:r>
                </w:p>
              </w:tc>
              <w:tc>
                <w:tcPr>
                  <w:tcW w:w="602" w:type="pct"/>
                  <w:vAlign w:val="center"/>
                </w:tcPr>
                <w:p>
                  <w:pPr>
                    <w:spacing w:line="240" w:lineRule="auto"/>
                    <w:jc w:val="center"/>
                    <w:rPr>
                      <w:rFonts w:ascii="Times New Roman" w:hAnsi="Times New Roman" w:eastAsia="宋体" w:cs="Times New Roman"/>
                      <w:sz w:val="21"/>
                      <w:u w:val="single"/>
                    </w:rPr>
                  </w:pPr>
                  <w:r>
                    <w:rPr>
                      <w:rFonts w:ascii="Times New Roman" w:hAnsi="Times New Roman" w:eastAsia="宋体" w:cs="Times New Roman"/>
                      <w:color w:val="000000"/>
                      <w:szCs w:val="21"/>
                      <w:u w:val="single"/>
                    </w:rPr>
                    <w:t>27.53</w:t>
                  </w:r>
                </w:p>
              </w:tc>
              <w:tc>
                <w:tcPr>
                  <w:tcW w:w="631" w:type="pct"/>
                  <w:vAlign w:val="center"/>
                </w:tcPr>
                <w:p>
                  <w:pPr>
                    <w:spacing w:line="240" w:lineRule="auto"/>
                    <w:jc w:val="center"/>
                    <w:rPr>
                      <w:rFonts w:ascii="Times New Roman" w:hAnsi="Times New Roman" w:eastAsia="宋体" w:cs="Times New Roman"/>
                      <w:sz w:val="21"/>
                      <w:u w:val="single"/>
                    </w:rPr>
                  </w:pPr>
                  <w:r>
                    <w:rPr>
                      <w:rFonts w:ascii="Times New Roman" w:hAnsi="Times New Roman" w:eastAsia="宋体" w:cs="Times New Roman"/>
                      <w:color w:val="000000"/>
                      <w:szCs w:val="21"/>
                      <w:u w:val="single"/>
                    </w:rPr>
                    <w:t>19.34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12" w:type="pct"/>
                  <w:vMerge w:val="continue"/>
                  <w:vAlign w:val="center"/>
                </w:tcPr>
                <w:p>
                  <w:pPr>
                    <w:pStyle w:val="8"/>
                    <w:spacing w:line="240" w:lineRule="auto"/>
                    <w:ind w:firstLine="0" w:firstLineChars="0"/>
                    <w:jc w:val="center"/>
                    <w:rPr>
                      <w:rFonts w:ascii="Times New Roman" w:hAnsi="Times New Roman" w:eastAsia="宋体" w:cs="Times New Roman"/>
                      <w:sz w:val="21"/>
                      <w:u w:val="single"/>
                    </w:rPr>
                  </w:pPr>
                </w:p>
              </w:tc>
              <w:tc>
                <w:tcPr>
                  <w:tcW w:w="1149" w:type="pct"/>
                  <w:vAlign w:val="center"/>
                </w:tcPr>
                <w:p>
                  <w:pPr>
                    <w:pStyle w:val="8"/>
                    <w:spacing w:line="240" w:lineRule="auto"/>
                    <w:ind w:firstLine="0" w:firstLineChars="0"/>
                    <w:jc w:val="center"/>
                    <w:rPr>
                      <w:rFonts w:ascii="Times New Roman" w:hAnsi="Times New Roman" w:eastAsia="宋体" w:cs="Times New Roman"/>
                      <w:sz w:val="21"/>
                      <w:u w:val="single"/>
                    </w:rPr>
                  </w:pPr>
                  <w:r>
                    <w:rPr>
                      <w:rFonts w:hint="eastAsia" w:ascii="Times New Roman" w:hAnsi="Times New Roman" w:eastAsia="宋体" w:cs="Times New Roman"/>
                      <w:sz w:val="21"/>
                      <w:u w:val="single"/>
                    </w:rPr>
                    <w:t>去除率</w:t>
                  </w:r>
                </w:p>
              </w:tc>
              <w:tc>
                <w:tcPr>
                  <w:tcW w:w="596" w:type="pct"/>
                  <w:vAlign w:val="center"/>
                </w:tcPr>
                <w:p>
                  <w:pPr>
                    <w:snapToGrid w:val="0"/>
                    <w:spacing w:line="240" w:lineRule="auto"/>
                    <w:jc w:val="center"/>
                    <w:rPr>
                      <w:rFonts w:ascii="Times New Roman" w:hAnsi="Times New Roman" w:eastAsia="宋体" w:cs="Times New Roman"/>
                      <w:color w:val="000000"/>
                      <w:sz w:val="21"/>
                      <w:szCs w:val="21"/>
                      <w:u w:val="single"/>
                    </w:rPr>
                  </w:pPr>
                  <w:r>
                    <w:rPr>
                      <w:rFonts w:ascii="Times New Roman" w:hAnsi="Times New Roman" w:eastAsia="宋体"/>
                      <w:bCs/>
                      <w:sz w:val="21"/>
                      <w:szCs w:val="21"/>
                      <w:u w:val="single"/>
                    </w:rPr>
                    <w:t>8</w:t>
                  </w:r>
                  <w:r>
                    <w:rPr>
                      <w:rFonts w:hint="eastAsia" w:ascii="Times New Roman" w:hAnsi="Times New Roman" w:eastAsia="宋体"/>
                      <w:bCs/>
                      <w:sz w:val="21"/>
                      <w:szCs w:val="21"/>
                      <w:u w:val="single"/>
                    </w:rPr>
                    <w:t>2</w:t>
                  </w:r>
                  <w:r>
                    <w:rPr>
                      <w:rFonts w:ascii="Times New Roman" w:hAnsi="Times New Roman" w:eastAsia="宋体"/>
                      <w:bCs/>
                      <w:sz w:val="21"/>
                      <w:szCs w:val="21"/>
                      <w:u w:val="single"/>
                    </w:rPr>
                    <w:t>%</w:t>
                  </w:r>
                </w:p>
              </w:tc>
              <w:tc>
                <w:tcPr>
                  <w:tcW w:w="575" w:type="pct"/>
                  <w:vAlign w:val="center"/>
                </w:tcPr>
                <w:p>
                  <w:pPr>
                    <w:snapToGrid w:val="0"/>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bCs/>
                      <w:sz w:val="21"/>
                      <w:szCs w:val="21"/>
                      <w:u w:val="single"/>
                    </w:rPr>
                    <w:t>95</w:t>
                  </w:r>
                  <w:r>
                    <w:rPr>
                      <w:rFonts w:ascii="Times New Roman" w:hAnsi="Times New Roman" w:eastAsia="宋体"/>
                      <w:bCs/>
                      <w:sz w:val="21"/>
                      <w:szCs w:val="21"/>
                      <w:u w:val="single"/>
                    </w:rPr>
                    <w:t>%</w:t>
                  </w:r>
                </w:p>
              </w:tc>
              <w:tc>
                <w:tcPr>
                  <w:tcW w:w="636" w:type="pct"/>
                  <w:vAlign w:val="center"/>
                </w:tcPr>
                <w:p>
                  <w:pPr>
                    <w:snapToGrid w:val="0"/>
                    <w:spacing w:line="240" w:lineRule="auto"/>
                    <w:jc w:val="center"/>
                    <w:rPr>
                      <w:rFonts w:ascii="Times New Roman" w:hAnsi="Times New Roman" w:eastAsia="宋体" w:cs="Times New Roman"/>
                      <w:color w:val="000000"/>
                      <w:sz w:val="21"/>
                      <w:szCs w:val="21"/>
                      <w:u w:val="single"/>
                    </w:rPr>
                  </w:pPr>
                  <w:r>
                    <w:rPr>
                      <w:rFonts w:ascii="Times New Roman" w:hAnsi="Times New Roman" w:eastAsia="宋体"/>
                      <w:bCs/>
                      <w:sz w:val="21"/>
                      <w:szCs w:val="21"/>
                      <w:u w:val="single"/>
                    </w:rPr>
                    <w:t>9</w:t>
                  </w:r>
                  <w:r>
                    <w:rPr>
                      <w:rFonts w:hint="eastAsia" w:ascii="Times New Roman" w:hAnsi="Times New Roman" w:eastAsia="宋体"/>
                      <w:bCs/>
                      <w:sz w:val="21"/>
                      <w:szCs w:val="21"/>
                      <w:u w:val="single"/>
                    </w:rPr>
                    <w:t>5</w:t>
                  </w:r>
                  <w:r>
                    <w:rPr>
                      <w:rFonts w:ascii="Times New Roman" w:hAnsi="Times New Roman" w:eastAsia="宋体"/>
                      <w:bCs/>
                      <w:sz w:val="21"/>
                      <w:szCs w:val="21"/>
                      <w:u w:val="single"/>
                    </w:rPr>
                    <w:t>%</w:t>
                  </w:r>
                </w:p>
              </w:tc>
              <w:tc>
                <w:tcPr>
                  <w:tcW w:w="602" w:type="pct"/>
                  <w:vAlign w:val="center"/>
                </w:tcPr>
                <w:p>
                  <w:pPr>
                    <w:snapToGrid w:val="0"/>
                    <w:spacing w:line="240" w:lineRule="auto"/>
                    <w:jc w:val="center"/>
                    <w:rPr>
                      <w:rFonts w:ascii="Times New Roman" w:hAnsi="Times New Roman" w:eastAsia="宋体" w:cs="Times New Roman"/>
                      <w:color w:val="000000"/>
                      <w:sz w:val="21"/>
                      <w:szCs w:val="21"/>
                      <w:u w:val="single"/>
                    </w:rPr>
                  </w:pPr>
                  <w:r>
                    <w:rPr>
                      <w:rFonts w:ascii="Times New Roman" w:hAnsi="Times New Roman" w:eastAsia="宋体"/>
                      <w:bCs/>
                      <w:sz w:val="21"/>
                      <w:szCs w:val="21"/>
                      <w:u w:val="single"/>
                    </w:rPr>
                    <w:t>8</w:t>
                  </w:r>
                  <w:r>
                    <w:rPr>
                      <w:rFonts w:hint="eastAsia" w:ascii="Times New Roman" w:hAnsi="Times New Roman" w:eastAsia="宋体"/>
                      <w:bCs/>
                      <w:sz w:val="21"/>
                      <w:szCs w:val="21"/>
                      <w:u w:val="single"/>
                    </w:rPr>
                    <w:t>5</w:t>
                  </w:r>
                  <w:r>
                    <w:rPr>
                      <w:rFonts w:ascii="Times New Roman" w:hAnsi="Times New Roman" w:eastAsia="宋体"/>
                      <w:bCs/>
                      <w:sz w:val="21"/>
                      <w:szCs w:val="21"/>
                      <w:u w:val="single"/>
                    </w:rPr>
                    <w:t>%</w:t>
                  </w:r>
                </w:p>
              </w:tc>
              <w:tc>
                <w:tcPr>
                  <w:tcW w:w="631" w:type="pct"/>
                  <w:vAlign w:val="center"/>
                </w:tcPr>
                <w:p>
                  <w:pPr>
                    <w:adjustRightInd w:val="0"/>
                    <w:snapToGrid w:val="0"/>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sz w:val="21"/>
                      <w:szCs w:val="21"/>
                      <w:u w:val="single"/>
                    </w:rPr>
                    <w:t>95</w:t>
                  </w:r>
                  <w:r>
                    <w:rPr>
                      <w:rFonts w:ascii="Times New Roman" w:hAnsi="Times New Roman" w:eastAsia="宋体"/>
                      <w:sz w:val="21"/>
                      <w:szCs w:val="21"/>
                      <w:u w:val="singl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12" w:type="pct"/>
                  <w:vMerge w:val="continue"/>
                  <w:vAlign w:val="center"/>
                </w:tcPr>
                <w:p>
                  <w:pPr>
                    <w:pStyle w:val="8"/>
                    <w:spacing w:line="240" w:lineRule="auto"/>
                    <w:ind w:firstLine="0" w:firstLineChars="0"/>
                    <w:jc w:val="center"/>
                    <w:rPr>
                      <w:rFonts w:ascii="Times New Roman" w:hAnsi="Times New Roman" w:eastAsia="宋体" w:cs="Times New Roman"/>
                      <w:sz w:val="21"/>
                      <w:u w:val="single"/>
                    </w:rPr>
                  </w:pPr>
                </w:p>
              </w:tc>
              <w:tc>
                <w:tcPr>
                  <w:tcW w:w="1149" w:type="pct"/>
                  <w:vAlign w:val="center"/>
                </w:tcPr>
                <w:p>
                  <w:pPr>
                    <w:pStyle w:val="8"/>
                    <w:spacing w:line="240" w:lineRule="auto"/>
                    <w:ind w:firstLine="0" w:firstLineChars="0"/>
                    <w:jc w:val="center"/>
                    <w:rPr>
                      <w:rFonts w:ascii="Times New Roman" w:hAnsi="Times New Roman" w:eastAsia="宋体" w:cs="Times New Roman"/>
                      <w:sz w:val="21"/>
                      <w:u w:val="single"/>
                    </w:rPr>
                  </w:pPr>
                  <w:r>
                    <w:rPr>
                      <w:rFonts w:ascii="Times New Roman" w:hAnsi="Times New Roman" w:eastAsia="宋体" w:cs="Times New Roman"/>
                      <w:sz w:val="21"/>
                      <w:u w:val="single"/>
                    </w:rPr>
                    <w:t>处理后浓度(mg/L)</w:t>
                  </w:r>
                </w:p>
              </w:tc>
              <w:tc>
                <w:tcPr>
                  <w:tcW w:w="596" w:type="pct"/>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eastAsia="宋体" w:cs="Times New Roman"/>
                      <w:sz w:val="21"/>
                      <w:szCs w:val="21"/>
                      <w:u w:val="single"/>
                    </w:rPr>
                    <w:t>46.98</w:t>
                  </w:r>
                </w:p>
              </w:tc>
              <w:tc>
                <w:tcPr>
                  <w:tcW w:w="575" w:type="pct"/>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eastAsia="宋体" w:cs="Times New Roman"/>
                      <w:sz w:val="21"/>
                      <w:szCs w:val="21"/>
                      <w:u w:val="single"/>
                    </w:rPr>
                    <w:t>8.93</w:t>
                  </w:r>
                </w:p>
              </w:tc>
              <w:tc>
                <w:tcPr>
                  <w:tcW w:w="636" w:type="pct"/>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eastAsia="宋体" w:cs="Times New Roman"/>
                      <w:sz w:val="21"/>
                      <w:szCs w:val="21"/>
                      <w:u w:val="single"/>
                    </w:rPr>
                    <w:t>7.515</w:t>
                  </w:r>
                </w:p>
              </w:tc>
              <w:tc>
                <w:tcPr>
                  <w:tcW w:w="602" w:type="pct"/>
                  <w:vAlign w:val="center"/>
                </w:tcPr>
                <w:p>
                  <w:pPr>
                    <w:spacing w:line="240" w:lineRule="auto"/>
                    <w:jc w:val="center"/>
                    <w:rPr>
                      <w:rFonts w:ascii="Times New Roman" w:hAnsi="Times New Roman" w:eastAsia="宋体" w:cs="Times New Roman"/>
                      <w:sz w:val="21"/>
                      <w:szCs w:val="21"/>
                      <w:u w:val="single"/>
                    </w:rPr>
                  </w:pPr>
                  <w:r>
                    <w:rPr>
                      <w:rFonts w:hint="eastAsia" w:ascii="Times New Roman" w:hAnsi="Times New Roman" w:eastAsia="宋体" w:cs="Times New Roman"/>
                      <w:sz w:val="21"/>
                      <w:szCs w:val="21"/>
                      <w:u w:val="single"/>
                    </w:rPr>
                    <w:t>4.</w:t>
                  </w:r>
                  <w:r>
                    <w:rPr>
                      <w:rFonts w:ascii="Times New Roman" w:hAnsi="Times New Roman" w:eastAsia="宋体" w:cs="Times New Roman"/>
                      <w:sz w:val="21"/>
                      <w:szCs w:val="21"/>
                      <w:u w:val="single"/>
                    </w:rPr>
                    <w:t>13</w:t>
                  </w:r>
                </w:p>
              </w:tc>
              <w:tc>
                <w:tcPr>
                  <w:tcW w:w="631" w:type="pct"/>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eastAsia="宋体" w:cs="Times New Roman"/>
                      <w:sz w:val="21"/>
                      <w:szCs w:val="21"/>
                      <w:u w:val="single"/>
                    </w:rPr>
                    <w:t>0.967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12" w:type="pct"/>
                  <w:vMerge w:val="continue"/>
                  <w:vAlign w:val="center"/>
                </w:tcPr>
                <w:p>
                  <w:pPr>
                    <w:pStyle w:val="8"/>
                    <w:spacing w:line="240" w:lineRule="auto"/>
                    <w:ind w:firstLine="0" w:firstLineChars="0"/>
                    <w:jc w:val="center"/>
                    <w:rPr>
                      <w:rFonts w:ascii="Times New Roman" w:hAnsi="Times New Roman" w:eastAsia="宋体" w:cs="Times New Roman"/>
                      <w:sz w:val="21"/>
                      <w:u w:val="single"/>
                    </w:rPr>
                  </w:pPr>
                </w:p>
              </w:tc>
              <w:tc>
                <w:tcPr>
                  <w:tcW w:w="1149" w:type="pct"/>
                  <w:vAlign w:val="center"/>
                </w:tcPr>
                <w:p>
                  <w:pPr>
                    <w:pStyle w:val="8"/>
                    <w:spacing w:line="240" w:lineRule="auto"/>
                    <w:ind w:firstLine="0" w:firstLineChars="0"/>
                    <w:jc w:val="center"/>
                    <w:rPr>
                      <w:rFonts w:ascii="Times New Roman" w:hAnsi="Times New Roman" w:eastAsia="宋体" w:cs="Times New Roman"/>
                      <w:sz w:val="21"/>
                      <w:u w:val="single"/>
                    </w:rPr>
                  </w:pPr>
                  <w:r>
                    <w:rPr>
                      <w:rFonts w:hint="eastAsia" w:ascii="Times New Roman" w:hAnsi="Times New Roman" w:eastAsia="宋体" w:cs="Times New Roman"/>
                      <w:sz w:val="21"/>
                      <w:u w:val="single"/>
                    </w:rPr>
                    <w:t>排放量</w:t>
                  </w:r>
                  <w:r>
                    <w:rPr>
                      <w:rFonts w:ascii="Times New Roman" w:hAnsi="Times New Roman" w:eastAsia="宋体" w:cs="Times New Roman"/>
                      <w:sz w:val="21"/>
                      <w:u w:val="single"/>
                    </w:rPr>
                    <w:t>(t/a)</w:t>
                  </w:r>
                </w:p>
              </w:tc>
              <w:tc>
                <w:tcPr>
                  <w:tcW w:w="596" w:type="pct"/>
                  <w:vAlign w:val="center"/>
                </w:tcPr>
                <w:p>
                  <w:pPr>
                    <w:spacing w:line="240" w:lineRule="auto"/>
                    <w:jc w:val="center"/>
                    <w:rPr>
                      <w:rFonts w:ascii="Times New Roman" w:hAnsi="Times New Roman" w:eastAsia="宋体" w:cs="Times New Roman"/>
                      <w:color w:val="000000"/>
                      <w:szCs w:val="21"/>
                      <w:u w:val="single"/>
                    </w:rPr>
                  </w:pPr>
                  <w:r>
                    <w:rPr>
                      <w:rFonts w:ascii="Times New Roman" w:hAnsi="Times New Roman" w:eastAsia="宋体" w:cs="Times New Roman"/>
                      <w:color w:val="000000"/>
                      <w:szCs w:val="21"/>
                      <w:u w:val="single"/>
                    </w:rPr>
                    <w:t>2.13768</w:t>
                  </w:r>
                </w:p>
              </w:tc>
              <w:tc>
                <w:tcPr>
                  <w:tcW w:w="575" w:type="pct"/>
                  <w:vAlign w:val="center"/>
                </w:tcPr>
                <w:p>
                  <w:pPr>
                    <w:spacing w:line="240" w:lineRule="auto"/>
                    <w:jc w:val="center"/>
                    <w:rPr>
                      <w:rFonts w:ascii="Times New Roman" w:hAnsi="Times New Roman" w:eastAsia="宋体" w:cs="Times New Roman"/>
                      <w:color w:val="000000"/>
                      <w:szCs w:val="21"/>
                      <w:u w:val="single"/>
                    </w:rPr>
                  </w:pPr>
                  <w:r>
                    <w:rPr>
                      <w:rFonts w:ascii="Times New Roman" w:hAnsi="Times New Roman" w:eastAsia="宋体" w:cs="Times New Roman"/>
                      <w:color w:val="000000"/>
                      <w:szCs w:val="21"/>
                      <w:u w:val="single"/>
                    </w:rPr>
                    <w:t>0.4062</w:t>
                  </w:r>
                </w:p>
              </w:tc>
              <w:tc>
                <w:tcPr>
                  <w:tcW w:w="636" w:type="pct"/>
                  <w:vAlign w:val="center"/>
                </w:tcPr>
                <w:p>
                  <w:pPr>
                    <w:spacing w:line="240" w:lineRule="auto"/>
                    <w:jc w:val="center"/>
                    <w:rPr>
                      <w:rFonts w:ascii="Times New Roman" w:hAnsi="Times New Roman" w:eastAsia="宋体" w:cs="Times New Roman"/>
                      <w:color w:val="000000"/>
                      <w:szCs w:val="21"/>
                      <w:u w:val="single"/>
                    </w:rPr>
                  </w:pPr>
                  <w:r>
                    <w:rPr>
                      <w:rFonts w:ascii="Times New Roman" w:hAnsi="Times New Roman" w:eastAsia="宋体" w:cs="Times New Roman"/>
                      <w:color w:val="000000"/>
                      <w:szCs w:val="21"/>
                      <w:u w:val="single"/>
                    </w:rPr>
                    <w:t>0.342</w:t>
                  </w:r>
                </w:p>
              </w:tc>
              <w:tc>
                <w:tcPr>
                  <w:tcW w:w="602" w:type="pct"/>
                  <w:vAlign w:val="center"/>
                </w:tcPr>
                <w:p>
                  <w:pPr>
                    <w:spacing w:line="240" w:lineRule="auto"/>
                    <w:jc w:val="center"/>
                    <w:rPr>
                      <w:rFonts w:ascii="Times New Roman" w:hAnsi="Times New Roman" w:eastAsia="宋体" w:cs="Times New Roman"/>
                      <w:color w:val="000000"/>
                      <w:szCs w:val="21"/>
                      <w:u w:val="single"/>
                    </w:rPr>
                  </w:pPr>
                  <w:r>
                    <w:rPr>
                      <w:rFonts w:ascii="Times New Roman" w:hAnsi="Times New Roman" w:eastAsia="宋体" w:cs="Times New Roman"/>
                      <w:color w:val="000000"/>
                      <w:szCs w:val="21"/>
                      <w:u w:val="single"/>
                    </w:rPr>
                    <w:t>0.1877</w:t>
                  </w:r>
                </w:p>
              </w:tc>
              <w:tc>
                <w:tcPr>
                  <w:tcW w:w="631" w:type="pct"/>
                  <w:vAlign w:val="center"/>
                </w:tcPr>
                <w:p>
                  <w:pPr>
                    <w:spacing w:line="240" w:lineRule="auto"/>
                    <w:jc w:val="center"/>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u w:val="single"/>
                    </w:rPr>
                    <w:t>0.</w:t>
                  </w:r>
                  <w:r>
                    <w:rPr>
                      <w:rFonts w:ascii="Times New Roman" w:hAnsi="Times New Roman" w:eastAsia="宋体" w:cs="Times New Roman"/>
                      <w:color w:val="000000"/>
                      <w:szCs w:val="21"/>
                      <w:u w:val="single"/>
                    </w:rPr>
                    <w:t>044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961" w:type="pct"/>
                  <w:gridSpan w:val="2"/>
                  <w:vAlign w:val="center"/>
                </w:tcPr>
                <w:p>
                  <w:pPr>
                    <w:pStyle w:val="8"/>
                    <w:spacing w:line="240" w:lineRule="auto"/>
                    <w:ind w:firstLine="0" w:firstLineChars="0"/>
                    <w:jc w:val="center"/>
                    <w:rPr>
                      <w:rFonts w:ascii="Times New Roman" w:hAnsi="Times New Roman" w:eastAsia="宋体" w:cs="Times New Roman"/>
                      <w:sz w:val="21"/>
                      <w:u w:val="single"/>
                    </w:rPr>
                  </w:pPr>
                  <w:r>
                    <w:rPr>
                      <w:rFonts w:hint="eastAsia" w:ascii="Times New Roman" w:hAnsi="Times New Roman" w:eastAsia="宋体"/>
                      <w:u w:val="single"/>
                    </w:rPr>
                    <w:t>(</w:t>
                  </w:r>
                  <w:r>
                    <w:rPr>
                      <w:rFonts w:ascii="Times New Roman" w:hAnsi="Times New Roman" w:eastAsia="宋体"/>
                      <w:u w:val="single"/>
                      <w:lang w:val="zh-CN"/>
                    </w:rPr>
                    <w:t>GB18918-2002</w:t>
                  </w:r>
                  <w:r>
                    <w:rPr>
                      <w:rFonts w:hint="eastAsia" w:ascii="Times New Roman" w:hAnsi="Times New Roman" w:eastAsia="宋体"/>
                      <w:u w:val="single"/>
                    </w:rPr>
                    <w:t>)</w:t>
                  </w:r>
                  <w:r>
                    <w:rPr>
                      <w:rFonts w:ascii="Times New Roman" w:hAnsi="Times New Roman" w:eastAsia="宋体" w:cs="Times New Roman"/>
                      <w:szCs w:val="21"/>
                      <w:u w:val="single"/>
                    </w:rPr>
                    <w:t>一级</w:t>
                  </w:r>
                  <w:r>
                    <w:rPr>
                      <w:rFonts w:hint="eastAsia" w:ascii="Times New Roman" w:hAnsi="Times New Roman" w:eastAsia="宋体" w:cs="Times New Roman"/>
                      <w:szCs w:val="21"/>
                      <w:u w:val="single"/>
                    </w:rPr>
                    <w:t>A</w:t>
                  </w:r>
                  <w:r>
                    <w:rPr>
                      <w:rFonts w:ascii="Times New Roman" w:hAnsi="Times New Roman" w:eastAsia="宋体" w:cs="Times New Roman"/>
                      <w:szCs w:val="21"/>
                      <w:u w:val="single"/>
                    </w:rPr>
                    <w:t>标准</w:t>
                  </w:r>
                  <w:r>
                    <w:rPr>
                      <w:rFonts w:ascii="Times New Roman" w:hAnsi="Times New Roman" w:eastAsia="宋体" w:cs="Times New Roman"/>
                      <w:sz w:val="21"/>
                      <w:szCs w:val="21"/>
                      <w:u w:val="single"/>
                    </w:rPr>
                    <w:t>(mg/L)</w:t>
                  </w:r>
                </w:p>
              </w:tc>
              <w:tc>
                <w:tcPr>
                  <w:tcW w:w="596" w:type="pct"/>
                  <w:vAlign w:val="center"/>
                </w:tcPr>
                <w:p>
                  <w:pPr>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cs="Times New Roman"/>
                      <w:szCs w:val="21"/>
                      <w:u w:val="single"/>
                    </w:rPr>
                    <w:t>50</w:t>
                  </w:r>
                </w:p>
              </w:tc>
              <w:tc>
                <w:tcPr>
                  <w:tcW w:w="575" w:type="pct"/>
                  <w:vAlign w:val="center"/>
                </w:tcPr>
                <w:p>
                  <w:pPr>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cs="Times New Roman"/>
                      <w:szCs w:val="21"/>
                      <w:u w:val="single"/>
                    </w:rPr>
                    <w:t>10</w:t>
                  </w:r>
                </w:p>
              </w:tc>
              <w:tc>
                <w:tcPr>
                  <w:tcW w:w="636" w:type="pct"/>
                  <w:vAlign w:val="center"/>
                </w:tcPr>
                <w:p>
                  <w:pPr>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cs="Times New Roman"/>
                      <w:szCs w:val="21"/>
                      <w:u w:val="single"/>
                    </w:rPr>
                    <w:t>10</w:t>
                  </w:r>
                </w:p>
              </w:tc>
              <w:tc>
                <w:tcPr>
                  <w:tcW w:w="602" w:type="pct"/>
                  <w:vAlign w:val="center"/>
                </w:tcPr>
                <w:p>
                  <w:pPr>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cs="Times New Roman"/>
                      <w:szCs w:val="21"/>
                      <w:u w:val="single"/>
                    </w:rPr>
                    <w:t>5</w:t>
                  </w:r>
                </w:p>
              </w:tc>
              <w:tc>
                <w:tcPr>
                  <w:tcW w:w="631" w:type="pct"/>
                  <w:vAlign w:val="center"/>
                </w:tcPr>
                <w:p>
                  <w:pPr>
                    <w:spacing w:line="240" w:lineRule="auto"/>
                    <w:jc w:val="center"/>
                    <w:rPr>
                      <w:rFonts w:ascii="Times New Roman" w:hAnsi="Times New Roman" w:eastAsia="宋体" w:cs="Times New Roman"/>
                      <w:color w:val="000000"/>
                      <w:sz w:val="21"/>
                      <w:szCs w:val="21"/>
                      <w:u w:val="single"/>
                    </w:rPr>
                  </w:pPr>
                  <w:r>
                    <w:rPr>
                      <w:rFonts w:hint="eastAsia" w:ascii="Times New Roman" w:hAnsi="Times New Roman" w:eastAsia="宋体" w:cs="Times New Roman"/>
                      <w:szCs w:val="21"/>
                      <w:u w:val="single"/>
                    </w:rPr>
                    <w:t>1</w:t>
                  </w:r>
                </w:p>
              </w:tc>
            </w:tr>
          </w:tbl>
          <w:p>
            <w:pPr>
              <w:spacing w:line="360" w:lineRule="auto"/>
              <w:ind w:firstLine="480" w:firstLineChars="200"/>
              <w:rPr>
                <w:rFonts w:ascii="Times New Roman" w:hAnsi="Times New Roman" w:eastAsia="宋体"/>
                <w:u w:val="single"/>
              </w:rPr>
            </w:pPr>
            <w:r>
              <w:rPr>
                <w:rFonts w:hint="eastAsia" w:ascii="宋体" w:hAnsi="宋体" w:eastAsia="宋体" w:cs="宋体"/>
                <w:u w:val="single"/>
              </w:rPr>
              <w:t>（2）水处理工艺</w:t>
            </w:r>
          </w:p>
          <w:p>
            <w:pPr>
              <w:spacing w:line="360" w:lineRule="auto"/>
              <w:ind w:firstLine="480" w:firstLineChars="200"/>
              <w:rPr>
                <w:rFonts w:ascii="Times New Roman" w:hAnsi="Times New Roman" w:eastAsia="宋体"/>
                <w:b/>
                <w:bCs/>
                <w:u w:val="single"/>
              </w:rPr>
            </w:pPr>
            <w:r>
              <w:rPr>
                <w:rFonts w:hint="eastAsia" w:ascii="Times New Roman" w:hAnsi="Times New Roman" w:eastAsia="宋体"/>
                <w:u w:val="single"/>
              </w:rPr>
              <w:t>本项目污水处理站采取MBR水处理工艺，其处理工艺流程见下图：</w:t>
            </w:r>
          </w:p>
          <w:p>
            <w:pPr>
              <w:spacing w:line="360" w:lineRule="auto"/>
              <w:ind w:firstLine="482" w:firstLineChars="200"/>
              <w:jc w:val="center"/>
              <w:rPr>
                <w:rFonts w:ascii="Times New Roman" w:hAnsi="Times New Roman" w:eastAsia="宋体"/>
                <w:b/>
                <w:bCs/>
                <w:u w:val="single"/>
              </w:rPr>
            </w:pPr>
            <w:r>
              <w:rPr>
                <w:rFonts w:hint="eastAsia" w:ascii="Times New Roman" w:hAnsi="Times New Roman" w:eastAsia="宋体"/>
                <w:b/>
                <w:bCs/>
                <w:u w:val="single"/>
              </w:rPr>
              <w:drawing>
                <wp:inline distT="0" distB="0" distL="0" distR="0">
                  <wp:extent cx="3855720" cy="1844040"/>
                  <wp:effectExtent l="0" t="0" r="0" b="3810"/>
                  <wp:docPr id="10" name="图片 10" descr="9a9042327f67f82297928adcab78d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a9042327f67f82297928adcab78de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55720" cy="1844040"/>
                          </a:xfrm>
                          <a:prstGeom prst="rect">
                            <a:avLst/>
                          </a:prstGeom>
                          <a:noFill/>
                          <a:ln>
                            <a:noFill/>
                          </a:ln>
                        </pic:spPr>
                      </pic:pic>
                    </a:graphicData>
                  </a:graphic>
                </wp:inline>
              </w:drawing>
            </w:r>
          </w:p>
          <w:p>
            <w:pPr>
              <w:spacing w:line="360" w:lineRule="auto"/>
              <w:ind w:firstLine="482" w:firstLineChars="200"/>
              <w:jc w:val="center"/>
              <w:rPr>
                <w:rFonts w:ascii="Times New Roman" w:hAnsi="Times New Roman" w:eastAsia="宋体"/>
                <w:b/>
                <w:bCs/>
                <w:u w:val="single"/>
              </w:rPr>
            </w:pPr>
            <w:r>
              <w:rPr>
                <w:rFonts w:hint="eastAsia" w:ascii="Times New Roman" w:hAnsi="Times New Roman" w:eastAsia="宋体"/>
                <w:b/>
                <w:bCs/>
                <w:u w:val="single"/>
              </w:rPr>
              <w:t>图5-</w:t>
            </w:r>
            <w:r>
              <w:rPr>
                <w:rFonts w:ascii="Times New Roman" w:hAnsi="Times New Roman" w:eastAsia="宋体"/>
                <w:b/>
                <w:bCs/>
                <w:u w:val="single"/>
              </w:rPr>
              <w:t xml:space="preserve">4   </w:t>
            </w:r>
            <w:r>
              <w:rPr>
                <w:rFonts w:hint="eastAsia" w:ascii="Times New Roman" w:hAnsi="Times New Roman" w:eastAsia="宋体"/>
                <w:b/>
                <w:bCs/>
                <w:u w:val="single"/>
              </w:rPr>
              <w:t xml:space="preserve"> MBR水处理流程图</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rPr>
              <w:t>工艺介绍：</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lang w:val="zh-CN"/>
              </w:rPr>
              <w:t>MBR(膜生物反应器)是把生物处理与膜分离相结合的一种组合工艺，在生物反应器中置入中空纤维膜组件，过滤中空纤维膜为超滤膜(UF)，孔径范围为0.04μm，主要用于对悬浮液和有机物进行截留。其特点可使生物反应池内维持一定浓度的微生物量，对污水进行净化。</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lang w:val="zh-CN"/>
              </w:rPr>
              <w:t>MBR膜生物反应器，是一种将高效膜分离技术与传统活性污泥法相结合的新型高效污水处理工艺，它用具有独特结构的MBR平片膜组件置于曝气池中，经过好氧曝气和生物处理后的水，由泵通过滤膜过滤后抽出。MBR污水处理与传统污水处理方法具有很大区别，通过膜分离装置代替传统工艺中的二沉池和三级处理工艺。从而得到优质的出水，解决了传统环保设备进行污水处理的出水水质达不到中水回用要求的问题。MBR污水处理后的水可直接作为市政用水或进一步处理作各种工业用水。</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lang w:val="zh-CN"/>
              </w:rPr>
              <w:t>由于MBR膜的存在大大提高了系统固液分离的能力，从而使MBR膜生物反应器的出水，水质和容积负荷都得到大幅度提高，经膜处理后的水水质标准高(超过国家一级A标准)，经过消毒，最后形成水质和生物安全性高的优质再生水，可直接作为新生水源。由于膜的过滤作用，微生物被完全截留在MBR膜生物反应器中，实现了水力停留时间与活性污泥泥龄的彻底分离，消除了传统活性污泥法中污泥膨胀问题。MBR膜生物反应器具有对污染物去除效率高、硝化能力强，可同时进行硝化、反硝化、脱氮效果好、出水水质稳定、剩余污泥产量低、设备紧凑、占地面积少(只有传统工艺的1/3-1/2)、增量扩容方便、自动化程度高、操作简单等优点。</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lang w:val="zh-CN"/>
              </w:rPr>
              <w:t>MBR膜生物反应器组件系列，具有结构紧凑、外型美观、占地面积小、运行费用低、稳定可靠、自动化程度高、维护操作方便等优点。MBR污水处理的出水水质好，优于中水水质标准。并以独特的MBR平片膜技术，克服了一般中空纤维膜的诸多不足之处，是当今国际先进的污水处理产品设备。</w:t>
            </w:r>
          </w:p>
          <w:p>
            <w:pPr>
              <w:spacing w:line="360" w:lineRule="auto"/>
              <w:ind w:firstLine="480" w:firstLineChars="200"/>
              <w:rPr>
                <w:rFonts w:ascii="Times New Roman" w:hAnsi="Times New Roman" w:eastAsia="宋体"/>
                <w:u w:val="single"/>
                <w:lang w:val="zh-CN"/>
              </w:rPr>
            </w:pPr>
            <w:r>
              <w:rPr>
                <w:rFonts w:hint="eastAsia" w:ascii="Times New Roman" w:hAnsi="Times New Roman" w:eastAsia="宋体"/>
                <w:u w:val="single"/>
                <w:lang w:val="zh-CN"/>
              </w:rPr>
              <w:t>根据</w:t>
            </w:r>
            <w:r>
              <w:rPr>
                <w:rFonts w:ascii="Times New Roman" w:hAnsi="Times New Roman" w:eastAsia="宋体"/>
                <w:u w:val="single"/>
                <w:lang w:val="zh-CN"/>
              </w:rPr>
              <w:t>梁乾伟</w:t>
            </w:r>
            <w:r>
              <w:rPr>
                <w:rFonts w:hint="eastAsia" w:ascii="Times New Roman" w:hAnsi="Times New Roman" w:eastAsia="宋体"/>
                <w:u w:val="single"/>
                <w:lang w:val="zh-CN"/>
              </w:rPr>
              <w:t>等人的研究《</w:t>
            </w:r>
            <w:r>
              <w:rPr>
                <w:rFonts w:ascii="Times New Roman" w:hAnsi="Times New Roman" w:eastAsia="宋体"/>
                <w:u w:val="single"/>
                <w:lang w:val="zh-CN"/>
              </w:rPr>
              <w:t>软硬性填料对MBR处理效率和膜污染的影响</w:t>
            </w:r>
            <w:r>
              <w:rPr>
                <w:rFonts w:hint="eastAsia" w:ascii="Times New Roman" w:hAnsi="Times New Roman" w:eastAsia="宋体"/>
                <w:u w:val="single"/>
                <w:lang w:val="zh-CN"/>
              </w:rPr>
              <w:t>》（</w:t>
            </w:r>
            <w:r>
              <w:rPr>
                <w:rFonts w:ascii="Times New Roman" w:hAnsi="Times New Roman" w:eastAsia="宋体"/>
                <w:u w:val="single"/>
                <w:lang w:val="zh-CN"/>
              </w:rPr>
              <w:t>东北林业大学林学院，黑龙江哈尔滨150040</w:t>
            </w:r>
            <w:r>
              <w:rPr>
                <w:rFonts w:hint="eastAsia" w:ascii="Times New Roman" w:hAnsi="Times New Roman" w:eastAsia="宋体"/>
                <w:u w:val="single"/>
                <w:lang w:val="zh-CN"/>
              </w:rPr>
              <w:t>），</w:t>
            </w:r>
            <w:r>
              <w:rPr>
                <w:rFonts w:hint="eastAsia" w:ascii="Times New Roman" w:hAnsi="Times New Roman" w:eastAsia="宋体"/>
                <w:u w:val="single"/>
              </w:rPr>
              <w:t>MBR处理工艺COD、氨氮最低处理效率可达</w:t>
            </w:r>
            <w:r>
              <w:rPr>
                <w:rFonts w:ascii="Times New Roman" w:hAnsi="Times New Roman" w:eastAsia="宋体"/>
                <w:u w:val="single"/>
                <w:lang w:val="zh-CN"/>
              </w:rPr>
              <w:t>93.43%</w:t>
            </w:r>
            <w:r>
              <w:rPr>
                <w:rFonts w:hint="eastAsia" w:ascii="Times New Roman" w:hAnsi="Times New Roman" w:eastAsia="宋体"/>
                <w:u w:val="single"/>
                <w:lang w:val="zh-CN"/>
              </w:rPr>
              <w:t>、</w:t>
            </w:r>
            <w:r>
              <w:rPr>
                <w:rFonts w:ascii="Times New Roman" w:hAnsi="Times New Roman" w:eastAsia="宋体"/>
                <w:u w:val="single"/>
                <w:lang w:val="zh-CN"/>
              </w:rPr>
              <w:t>96.21%</w:t>
            </w:r>
            <w:r>
              <w:rPr>
                <w:rFonts w:hint="eastAsia" w:ascii="Times New Roman" w:hAnsi="Times New Roman" w:eastAsia="宋体"/>
                <w:u w:val="single"/>
                <w:lang w:val="zh-CN"/>
              </w:rPr>
              <w:t>，处理效率能满足要求。</w:t>
            </w:r>
          </w:p>
          <w:p>
            <w:pPr>
              <w:tabs>
                <w:tab w:val="left" w:pos="420"/>
              </w:tabs>
              <w:spacing w:line="360" w:lineRule="auto"/>
              <w:ind w:firstLine="480" w:firstLineChars="200"/>
              <w:rPr>
                <w:rFonts w:ascii="Times New Roman" w:hAnsi="Times New Roman" w:eastAsia="宋体"/>
                <w:szCs w:val="24"/>
                <w:u w:val="single"/>
              </w:rPr>
            </w:pPr>
            <w:r>
              <w:rPr>
                <w:rFonts w:hint="eastAsia" w:ascii="Times New Roman" w:hAnsi="Times New Roman" w:eastAsia="宋体"/>
                <w:u w:val="single"/>
              </w:rPr>
              <w:t>项目污水处理站采取半地埋式，水力停留时间约12h，设计日处理废水约30</w:t>
            </w:r>
            <w:r>
              <w:rPr>
                <w:rFonts w:ascii="Times New Roman" w:hAnsi="Times New Roman" w:eastAsia="宋体"/>
                <w:u w:val="single"/>
              </w:rPr>
              <w:t>0</w:t>
            </w:r>
            <w:r>
              <w:rPr>
                <w:rFonts w:hint="eastAsia" w:ascii="Times New Roman" w:hAnsi="Times New Roman" w:eastAsia="宋体"/>
                <w:u w:val="single"/>
              </w:rPr>
              <w:t>m³/d。木里港学校约</w:t>
            </w:r>
            <w:r>
              <w:rPr>
                <w:rFonts w:hint="eastAsia" w:ascii="Times New Roman" w:hAnsi="Times New Roman" w:eastAsia="宋体"/>
                <w:szCs w:val="24"/>
                <w:u w:val="single"/>
              </w:rPr>
              <w:t>共处理污水约</w:t>
            </w:r>
            <w:r>
              <w:rPr>
                <w:rFonts w:ascii="Times New Roman" w:hAnsi="Times New Roman" w:eastAsia="宋体"/>
                <w:szCs w:val="24"/>
                <w:u w:val="single"/>
              </w:rPr>
              <w:t>227.52</w:t>
            </w:r>
            <w:r>
              <w:rPr>
                <w:rFonts w:hint="eastAsia" w:ascii="Times New Roman" w:hAnsi="Times New Roman" w:eastAsia="宋体"/>
                <w:szCs w:val="24"/>
                <w:u w:val="single"/>
              </w:rPr>
              <w:t>m³/d，其设计规模能满足要求。</w:t>
            </w:r>
          </w:p>
          <w:p>
            <w:pPr>
              <w:tabs>
                <w:tab w:val="left" w:pos="420"/>
              </w:tabs>
              <w:spacing w:line="360" w:lineRule="auto"/>
              <w:ind w:firstLine="480" w:firstLineChars="200"/>
              <w:rPr>
                <w:rFonts w:ascii="Times New Roman" w:hAnsi="Times New Roman" w:eastAsia="宋体" w:cs="Times New Roman"/>
                <w:b/>
                <w:u w:val="single"/>
              </w:rPr>
            </w:pPr>
            <w:r>
              <w:rPr>
                <w:rFonts w:hint="eastAsia" w:ascii="Times New Roman" w:hAnsi="Times New Roman" w:eastAsia="宋体"/>
                <w:szCs w:val="24"/>
                <w:u w:val="single"/>
              </w:rPr>
              <w:t>污水处理站位于项目所在地西北角，其运行由物管聘请专业的水处理专员进行运行、维护，污水处理站运行费用由建设单位出资。</w:t>
            </w:r>
          </w:p>
          <w:p>
            <w:pPr>
              <w:pStyle w:val="32"/>
              <w:ind w:firstLine="480"/>
              <w:rPr>
                <w:szCs w:val="24"/>
                <w:u w:val="single"/>
              </w:rPr>
            </w:pPr>
            <w:r>
              <w:rPr>
                <w:szCs w:val="24"/>
                <w:u w:val="single"/>
              </w:rPr>
              <w:fldChar w:fldCharType="begin"/>
            </w:r>
            <w:r>
              <w:rPr>
                <w:szCs w:val="24"/>
                <w:u w:val="single"/>
              </w:rPr>
              <w:instrText xml:space="preserve"> </w:instrText>
            </w:r>
            <w:r>
              <w:rPr>
                <w:rFonts w:hint="eastAsia"/>
                <w:szCs w:val="24"/>
                <w:u w:val="single"/>
              </w:rPr>
              <w:instrText xml:space="preserve">= 2 \* GB3</w:instrText>
            </w:r>
            <w:r>
              <w:rPr>
                <w:szCs w:val="24"/>
                <w:u w:val="single"/>
              </w:rPr>
              <w:instrText xml:space="preserve"> </w:instrText>
            </w:r>
            <w:r>
              <w:rPr>
                <w:szCs w:val="24"/>
                <w:u w:val="single"/>
              </w:rPr>
              <w:fldChar w:fldCharType="separate"/>
            </w:r>
            <w:r>
              <w:rPr>
                <w:rFonts w:hint="eastAsia"/>
                <w:szCs w:val="24"/>
                <w:u w:val="single"/>
              </w:rPr>
              <w:t>②</w:t>
            </w:r>
            <w:r>
              <w:rPr>
                <w:szCs w:val="24"/>
                <w:u w:val="single"/>
              </w:rPr>
              <w:fldChar w:fldCharType="end"/>
            </w:r>
            <w:r>
              <w:rPr>
                <w:rFonts w:hint="eastAsia"/>
                <w:szCs w:val="24"/>
                <w:u w:val="single"/>
              </w:rPr>
              <w:t>如建设过程中（运营前）污水管网已与罗家坡污水处理厂接通，则无需建设污水处理站，本项目污水通过市政污水管网排至罗家坡污水处理厂处理，建设单位应督促政府加快污水管网的建设，污水应尽量进入城市污水处理厂处理。</w:t>
            </w:r>
          </w:p>
          <w:p>
            <w:pPr>
              <w:spacing w:line="360" w:lineRule="auto"/>
              <w:ind w:firstLine="480" w:firstLineChars="200"/>
              <w:rPr>
                <w:rFonts w:ascii="Times New Roman" w:hAnsi="Times New Roman" w:cs="Times New Roman"/>
                <w:u w:val="single"/>
              </w:rPr>
            </w:pPr>
            <w:r>
              <w:rPr>
                <w:rFonts w:ascii="Times New Roman" w:hAnsi="Times New Roman" w:cs="Times New Roman"/>
                <w:u w:val="single"/>
              </w:rPr>
              <w:t>根据分析，本项目废水最终排放情况如下表所示：</w:t>
            </w:r>
          </w:p>
          <w:p>
            <w:pPr>
              <w:spacing w:line="360" w:lineRule="auto"/>
              <w:jc w:val="center"/>
              <w:rPr>
                <w:rFonts w:ascii="Times New Roman" w:hAnsi="Times New Roman" w:cs="Times New Roman"/>
                <w:b/>
                <w:bCs/>
                <w:u w:val="single"/>
              </w:rPr>
            </w:pPr>
            <w:r>
              <w:rPr>
                <w:rFonts w:ascii="Times New Roman" w:hAnsi="Times New Roman" w:cs="Times New Roman"/>
                <w:b/>
                <w:bCs/>
                <w:u w:val="single"/>
              </w:rPr>
              <w:t>表5-15  项目废水污染物最终排放情况</w:t>
            </w:r>
          </w:p>
          <w:tbl>
            <w:tblPr>
              <w:tblStyle w:val="23"/>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189"/>
              <w:gridCol w:w="2292"/>
              <w:gridCol w:w="2269"/>
              <w:gridCol w:w="255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tcBorders>
                    <w:bottom w:val="single" w:color="000000" w:sz="12" w:space="0"/>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产生环节</w:t>
                  </w:r>
                </w:p>
              </w:tc>
              <w:tc>
                <w:tcPr>
                  <w:tcW w:w="1380" w:type="pct"/>
                  <w:tcBorders>
                    <w:bottom w:val="single" w:color="000000" w:sz="12" w:space="0"/>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指标</w:t>
                  </w:r>
                </w:p>
              </w:tc>
              <w:tc>
                <w:tcPr>
                  <w:tcW w:w="1366" w:type="pct"/>
                  <w:tcBorders>
                    <w:bottom w:val="single" w:color="000000" w:sz="12" w:space="0"/>
                  </w:tcBorders>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最终排放浓度(mg/L)</w:t>
                  </w:r>
                  <w:r>
                    <w:rPr>
                      <w:rFonts w:hint="eastAsia" w:ascii="Times New Roman" w:hAnsi="Times New Roman" w:cs="Times New Roman"/>
                      <w:b/>
                      <w:bCs/>
                      <w:sz w:val="21"/>
                      <w:szCs w:val="21"/>
                      <w:u w:val="single"/>
                    </w:rPr>
                    <w:t xml:space="preserve"> 接通污水管网前</w:t>
                  </w:r>
                </w:p>
              </w:tc>
              <w:tc>
                <w:tcPr>
                  <w:tcW w:w="1538" w:type="pct"/>
                  <w:tcBorders>
                    <w:bottom w:val="single" w:color="000000" w:sz="12" w:space="0"/>
                  </w:tcBorders>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最终年排放量</w:t>
                  </w:r>
                  <w:r>
                    <w:rPr>
                      <w:rFonts w:hint="eastAsia" w:ascii="Times New Roman" w:hAnsi="Times New Roman" w:cs="Times New Roman"/>
                      <w:b/>
                      <w:bCs/>
                      <w:sz w:val="21"/>
                      <w:szCs w:val="21"/>
                      <w:u w:val="single"/>
                    </w:rPr>
                    <w:t>(</w:t>
                  </w:r>
                  <w:r>
                    <w:rPr>
                      <w:rFonts w:ascii="Times New Roman" w:hAnsi="Times New Roman" w:cs="Times New Roman"/>
                      <w:b/>
                      <w:bCs/>
                      <w:sz w:val="21"/>
                      <w:szCs w:val="21"/>
                      <w:u w:val="single"/>
                    </w:rPr>
                    <w:t>t/a)</w:t>
                  </w:r>
                </w:p>
                <w:p>
                  <w:pPr>
                    <w:spacing w:line="240" w:lineRule="auto"/>
                    <w:jc w:val="center"/>
                    <w:rPr>
                      <w:rFonts w:ascii="Times New Roman" w:hAnsi="Times New Roman" w:cs="Times New Roman"/>
                      <w:b/>
                      <w:bCs/>
                      <w:sz w:val="21"/>
                      <w:szCs w:val="21"/>
                      <w:u w:val="single"/>
                    </w:rPr>
                  </w:pPr>
                  <w:r>
                    <w:rPr>
                      <w:rFonts w:hint="eastAsia" w:ascii="Times New Roman" w:hAnsi="Times New Roman" w:cs="Times New Roman"/>
                      <w:b/>
                      <w:bCs/>
                      <w:sz w:val="21"/>
                      <w:szCs w:val="21"/>
                      <w:u w:val="single"/>
                    </w:rPr>
                    <w:t>接通污水管网后</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restart"/>
                  <w:tcBorders>
                    <w:top w:val="single" w:color="000000" w:sz="12" w:space="0"/>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运营期</w:t>
                  </w:r>
                </w:p>
              </w:tc>
              <w:tc>
                <w:tcPr>
                  <w:tcW w:w="1380" w:type="pct"/>
                  <w:tcBorders>
                    <w:top w:val="single" w:color="000000" w:sz="12" w:space="0"/>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项目废水排放总量</w:t>
                  </w:r>
                </w:p>
              </w:tc>
              <w:tc>
                <w:tcPr>
                  <w:tcW w:w="1366" w:type="pct"/>
                  <w:tcBorders>
                    <w:top w:val="single" w:color="000000" w:sz="12" w:space="0"/>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op w:val="single" w:color="000000" w:sz="12" w:space="0"/>
                    <w:tl2br w:val="nil"/>
                    <w:tr2bl w:val="nil"/>
                  </w:tcBorders>
                </w:tcPr>
                <w:p>
                  <w:pPr>
                    <w:widowControl/>
                    <w:spacing w:before="156" w:beforeLines="50"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4</w:t>
                  </w:r>
                  <w:r>
                    <w:rPr>
                      <w:rFonts w:ascii="Times New Roman" w:hAnsi="Times New Roman" w:eastAsia="宋体" w:cs="Times New Roman"/>
                      <w:kern w:val="0"/>
                      <w:sz w:val="21"/>
                      <w:szCs w:val="21"/>
                      <w:u w:val="single"/>
                      <w:lang w:bidi="ar"/>
                    </w:rPr>
                    <w:t>5504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生活污水</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28584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食堂废水</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hint="eastAsia" w:ascii="Times New Roman" w:hAnsi="Times New Roman" w:cs="Times New Roman"/>
                      <w:sz w:val="21"/>
                      <w:szCs w:val="21"/>
                      <w:u w:val="single"/>
                    </w:rPr>
                    <w:t>1</w:t>
                  </w:r>
                  <w:r>
                    <w:rPr>
                      <w:rFonts w:ascii="Times New Roman" w:hAnsi="Times New Roman" w:cs="Times New Roman"/>
                      <w:sz w:val="21"/>
                      <w:szCs w:val="21"/>
                      <w:u w:val="single"/>
                    </w:rPr>
                    <w:t>5480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化学实验室废水</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u w:val="single"/>
                    </w:rPr>
                  </w:pPr>
                  <w:r>
                    <w:rPr>
                      <w:rFonts w:hint="eastAsia" w:ascii="Times New Roman" w:hAnsi="Times New Roman" w:cs="Times New Roman"/>
                      <w:sz w:val="21"/>
                      <w:szCs w:val="21"/>
                      <w:u w:val="single"/>
                    </w:rPr>
                    <w:t>8</w:t>
                  </w:r>
                  <w:r>
                    <w:rPr>
                      <w:rFonts w:ascii="Times New Roman" w:hAnsi="Times New Roman" w:cs="Times New Roman"/>
                      <w:sz w:val="21"/>
                      <w:szCs w:val="21"/>
                      <w:u w:val="single"/>
                    </w:rPr>
                    <w:t>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eastAsia="宋体" w:cs="Times New Roman"/>
                      <w:sz w:val="21"/>
                      <w:szCs w:val="21"/>
                      <w:u w:val="single"/>
                    </w:rPr>
                    <w:t>生物实验室</w:t>
                  </w:r>
                  <w:r>
                    <w:rPr>
                      <w:rFonts w:ascii="Times New Roman" w:hAnsi="Times New Roman" w:cs="Times New Roman"/>
                      <w:sz w:val="21"/>
                      <w:szCs w:val="21"/>
                      <w:u w:val="single"/>
                    </w:rPr>
                    <w:t>废水</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hint="eastAsia" w:ascii="Times New Roman" w:hAnsi="Times New Roman" w:cs="Times New Roman"/>
                      <w:sz w:val="21"/>
                      <w:szCs w:val="21"/>
                      <w:u w:val="single"/>
                    </w:rPr>
                    <w:t>3</w:t>
                  </w:r>
                  <w:r>
                    <w:rPr>
                      <w:rFonts w:ascii="Times New Roman" w:hAnsi="Times New Roman" w:cs="Times New Roman"/>
                      <w:sz w:val="21"/>
                      <w:szCs w:val="21"/>
                      <w:u w:val="single"/>
                    </w:rPr>
                    <w:t>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eastAsia="宋体" w:cs="Times New Roman"/>
                      <w:sz w:val="21"/>
                      <w:szCs w:val="21"/>
                      <w:u w:val="single"/>
                    </w:rPr>
                    <w:t>物理实验室</w:t>
                  </w:r>
                  <w:r>
                    <w:rPr>
                      <w:rFonts w:ascii="Times New Roman" w:hAnsi="Times New Roman" w:cs="Times New Roman"/>
                      <w:sz w:val="21"/>
                      <w:szCs w:val="21"/>
                      <w:u w:val="single"/>
                    </w:rPr>
                    <w:t>废水</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w:t>
                  </w:r>
                </w:p>
              </w:tc>
              <w:tc>
                <w:tcPr>
                  <w:tcW w:w="1538"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hint="eastAsia" w:ascii="Times New Roman" w:hAnsi="Times New Roman" w:cs="Times New Roman"/>
                      <w:sz w:val="21"/>
                      <w:szCs w:val="21"/>
                      <w:u w:val="single"/>
                    </w:rPr>
                    <w:t>3</w:t>
                  </w:r>
                  <w:r>
                    <w:rPr>
                      <w:rFonts w:ascii="Times New Roman" w:hAnsi="Times New Roman" w:cs="Times New Roman"/>
                      <w:sz w:val="21"/>
                      <w:szCs w:val="21"/>
                      <w:u w:val="single"/>
                    </w:rPr>
                    <w:t>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b/>
                      <w:bCs/>
                      <w:sz w:val="21"/>
                      <w:szCs w:val="21"/>
                      <w:u w:val="single"/>
                    </w:rPr>
                  </w:pPr>
                </w:p>
              </w:tc>
              <w:tc>
                <w:tcPr>
                  <w:tcW w:w="1380" w:type="pct"/>
                  <w:tcBorders>
                    <w:tl2br w:val="nil"/>
                    <w:tr2bl w:val="nil"/>
                  </w:tcBorders>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eastAsia="宋体" w:cs="Times New Roman"/>
                      <w:sz w:val="21"/>
                      <w:szCs w:val="21"/>
                      <w:u w:val="single"/>
                    </w:rPr>
                    <w:t>pH</w:t>
                  </w:r>
                </w:p>
              </w:tc>
              <w:tc>
                <w:tcPr>
                  <w:tcW w:w="1366" w:type="pct"/>
                  <w:tcBorders>
                    <w:tl2br w:val="nil"/>
                    <w:tr2bl w:val="nil"/>
                  </w:tcBorders>
                  <w:vAlign w:val="center"/>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ascii="Times New Roman" w:hAnsi="Times New Roman" w:eastAsia="宋体" w:cs="Times New Roman"/>
                      <w:kern w:val="0"/>
                      <w:sz w:val="21"/>
                      <w:szCs w:val="21"/>
                      <w:u w:val="single"/>
                      <w:lang w:bidi="ar"/>
                    </w:rPr>
                    <w:t>6~9</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COD</w:t>
                  </w:r>
                </w:p>
              </w:tc>
              <w:tc>
                <w:tcPr>
                  <w:tcW w:w="1366" w:type="pct"/>
                  <w:tcBorders>
                    <w:tl2br w:val="nil"/>
                    <w:tr2bl w:val="nil"/>
                  </w:tcBorders>
                  <w:vAlign w:val="center"/>
                </w:tcPr>
                <w:p>
                  <w:pPr>
                    <w:widowControl/>
                    <w:spacing w:line="240" w:lineRule="auto"/>
                    <w:jc w:val="center"/>
                    <w:textAlignment w:val="center"/>
                    <w:rPr>
                      <w:rFonts w:ascii="Times New Roman" w:hAnsi="Times New Roman" w:cs="Times New Roman"/>
                      <w:sz w:val="21"/>
                      <w:szCs w:val="21"/>
                      <w:u w:val="single"/>
                    </w:rPr>
                  </w:pPr>
                  <w:r>
                    <w:rPr>
                      <w:rFonts w:ascii="Times New Roman" w:hAnsi="Times New Roman" w:eastAsia="宋体" w:cs="Times New Roman"/>
                      <w:kern w:val="0"/>
                      <w:sz w:val="21"/>
                      <w:szCs w:val="21"/>
                      <w:u w:val="single"/>
                      <w:lang w:bidi="ar"/>
                    </w:rPr>
                    <w:t>50</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2</w:t>
                  </w:r>
                  <w:r>
                    <w:rPr>
                      <w:rFonts w:ascii="Times New Roman" w:hAnsi="Times New Roman" w:eastAsia="宋体" w:cs="Times New Roman"/>
                      <w:kern w:val="0"/>
                      <w:sz w:val="21"/>
                      <w:szCs w:val="21"/>
                      <w:u w:val="single"/>
                      <w:lang w:bidi="ar"/>
                    </w:rPr>
                    <w:t>.229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BOD</w:t>
                  </w:r>
                  <w:r>
                    <w:rPr>
                      <w:rFonts w:ascii="Times New Roman" w:hAnsi="Times New Roman" w:cs="Times New Roman"/>
                      <w:sz w:val="21"/>
                      <w:szCs w:val="21"/>
                      <w:u w:val="single"/>
                      <w:vertAlign w:val="subscript"/>
                    </w:rPr>
                    <w:t>5</w:t>
                  </w:r>
                </w:p>
              </w:tc>
              <w:tc>
                <w:tcPr>
                  <w:tcW w:w="1366"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u w:val="single"/>
                    </w:rPr>
                  </w:pPr>
                  <w:r>
                    <w:rPr>
                      <w:rFonts w:ascii="Times New Roman" w:hAnsi="Times New Roman" w:eastAsia="宋体" w:cs="Times New Roman"/>
                      <w:kern w:val="0"/>
                      <w:sz w:val="21"/>
                      <w:szCs w:val="21"/>
                      <w:u w:val="single"/>
                      <w:lang w:bidi="ar"/>
                    </w:rPr>
                    <w:t>10</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0</w:t>
                  </w:r>
                  <w:r>
                    <w:rPr>
                      <w:rFonts w:ascii="Times New Roman" w:hAnsi="Times New Roman" w:eastAsia="宋体" w:cs="Times New Roman"/>
                      <w:kern w:val="0"/>
                      <w:sz w:val="21"/>
                      <w:szCs w:val="21"/>
                      <w:u w:val="single"/>
                      <w:lang w:bidi="ar"/>
                    </w:rPr>
                    <w:t>.45504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SS</w:t>
                  </w:r>
                </w:p>
              </w:tc>
              <w:tc>
                <w:tcPr>
                  <w:tcW w:w="1366"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u w:val="single"/>
                    </w:rPr>
                  </w:pPr>
                  <w:r>
                    <w:rPr>
                      <w:rFonts w:ascii="Times New Roman" w:hAnsi="Times New Roman" w:eastAsia="宋体" w:cs="Times New Roman"/>
                      <w:kern w:val="0"/>
                      <w:sz w:val="21"/>
                      <w:szCs w:val="21"/>
                      <w:u w:val="single"/>
                      <w:lang w:bidi="ar"/>
                    </w:rPr>
                    <w:t>10</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0</w:t>
                  </w:r>
                  <w:r>
                    <w:rPr>
                      <w:rFonts w:ascii="Times New Roman" w:hAnsi="Times New Roman" w:eastAsia="宋体" w:cs="Times New Roman"/>
                      <w:kern w:val="0"/>
                      <w:sz w:val="21"/>
                      <w:szCs w:val="21"/>
                      <w:u w:val="single"/>
                      <w:lang w:bidi="ar"/>
                    </w:rPr>
                    <w:t>.45504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1380"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NH</w:t>
                  </w:r>
                  <w:r>
                    <w:rPr>
                      <w:rFonts w:ascii="Times New Roman" w:hAnsi="Times New Roman" w:cs="Times New Roman"/>
                      <w:sz w:val="21"/>
                      <w:szCs w:val="21"/>
                      <w:u w:val="single"/>
                      <w:vertAlign w:val="subscript"/>
                    </w:rPr>
                    <w:t>3</w:t>
                  </w:r>
                  <w:r>
                    <w:rPr>
                      <w:rFonts w:ascii="Times New Roman" w:hAnsi="Times New Roman" w:cs="Times New Roman"/>
                      <w:sz w:val="21"/>
                      <w:szCs w:val="21"/>
                      <w:u w:val="single"/>
                    </w:rPr>
                    <w:t>-N</w:t>
                  </w:r>
                </w:p>
              </w:tc>
              <w:tc>
                <w:tcPr>
                  <w:tcW w:w="1366" w:type="pct"/>
                  <w:tcBorders>
                    <w:tl2br w:val="nil"/>
                    <w:tr2bl w:val="nil"/>
                  </w:tcBorders>
                  <w:vAlign w:val="center"/>
                </w:tcPr>
                <w:p>
                  <w:pPr>
                    <w:widowControl/>
                    <w:spacing w:line="240" w:lineRule="auto"/>
                    <w:jc w:val="center"/>
                    <w:textAlignment w:val="center"/>
                    <w:rPr>
                      <w:rFonts w:ascii="Times New Roman" w:hAnsi="Times New Roman" w:eastAsia="宋体" w:cs="Times New Roman"/>
                      <w:sz w:val="21"/>
                      <w:szCs w:val="21"/>
                      <w:u w:val="single"/>
                    </w:rPr>
                  </w:pPr>
                  <w:r>
                    <w:rPr>
                      <w:rFonts w:ascii="Times New Roman" w:hAnsi="Times New Roman" w:eastAsia="宋体" w:cs="Times New Roman"/>
                      <w:kern w:val="0"/>
                      <w:sz w:val="21"/>
                      <w:szCs w:val="21"/>
                      <w:u w:val="single"/>
                      <w:lang w:bidi="ar"/>
                    </w:rPr>
                    <w:t>5</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0</w:t>
                  </w:r>
                  <w:r>
                    <w:rPr>
                      <w:rFonts w:ascii="Times New Roman" w:hAnsi="Times New Roman" w:eastAsia="宋体" w:cs="Times New Roman"/>
                      <w:kern w:val="0"/>
                      <w:sz w:val="21"/>
                      <w:szCs w:val="21"/>
                      <w:u w:val="single"/>
                      <w:lang w:bidi="ar"/>
                    </w:rPr>
                    <w:t>.2282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16" w:type="pct"/>
                  <w:vMerge w:val="continue"/>
                  <w:tcBorders>
                    <w:tl2br w:val="nil"/>
                    <w:tr2bl w:val="nil"/>
                  </w:tcBorders>
                  <w:vAlign w:val="center"/>
                </w:tcPr>
                <w:p>
                  <w:pPr>
                    <w:spacing w:line="240" w:lineRule="auto"/>
                    <w:jc w:val="center"/>
                    <w:rPr>
                      <w:rFonts w:ascii="Times New Roman" w:hAnsi="Times New Roman" w:cs="Times New Roman"/>
                      <w:sz w:val="21"/>
                      <w:szCs w:val="21"/>
                      <w:u w:val="single"/>
                    </w:rPr>
                  </w:pPr>
                </w:p>
              </w:tc>
              <w:tc>
                <w:tcPr>
                  <w:tcW w:w="1380" w:type="pct"/>
                  <w:tcBorders>
                    <w:tl2br w:val="nil"/>
                    <w:tr2bl w:val="nil"/>
                  </w:tcBorders>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动植物油</w:t>
                  </w:r>
                </w:p>
              </w:tc>
              <w:tc>
                <w:tcPr>
                  <w:tcW w:w="1366" w:type="pct"/>
                  <w:tcBorders>
                    <w:tl2br w:val="nil"/>
                    <w:tr2bl w:val="nil"/>
                  </w:tcBorders>
                  <w:vAlign w:val="center"/>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ascii="Times New Roman" w:hAnsi="Times New Roman" w:eastAsia="宋体" w:cs="Times New Roman"/>
                      <w:kern w:val="0"/>
                      <w:sz w:val="21"/>
                      <w:szCs w:val="21"/>
                      <w:u w:val="single"/>
                      <w:lang w:bidi="ar"/>
                    </w:rPr>
                    <w:t>1</w:t>
                  </w:r>
                </w:p>
              </w:tc>
              <w:tc>
                <w:tcPr>
                  <w:tcW w:w="1538" w:type="pct"/>
                  <w:tcBorders>
                    <w:tl2br w:val="nil"/>
                    <w:tr2bl w:val="nil"/>
                  </w:tcBorders>
                </w:tcPr>
                <w:p>
                  <w:pPr>
                    <w:widowControl/>
                    <w:spacing w:line="240" w:lineRule="auto"/>
                    <w:jc w:val="center"/>
                    <w:textAlignment w:val="center"/>
                    <w:rPr>
                      <w:rFonts w:ascii="Times New Roman" w:hAnsi="Times New Roman" w:eastAsia="宋体" w:cs="Times New Roman"/>
                      <w:kern w:val="0"/>
                      <w:sz w:val="21"/>
                      <w:szCs w:val="21"/>
                      <w:u w:val="single"/>
                      <w:lang w:bidi="ar"/>
                    </w:rPr>
                  </w:pPr>
                  <w:r>
                    <w:rPr>
                      <w:rFonts w:hint="eastAsia" w:ascii="Times New Roman" w:hAnsi="Times New Roman" w:eastAsia="宋体" w:cs="Times New Roman"/>
                      <w:kern w:val="0"/>
                      <w:sz w:val="21"/>
                      <w:szCs w:val="21"/>
                      <w:u w:val="single"/>
                      <w:lang w:bidi="ar"/>
                    </w:rPr>
                    <w:t>0</w:t>
                  </w:r>
                  <w:r>
                    <w:rPr>
                      <w:rFonts w:ascii="Times New Roman" w:hAnsi="Times New Roman" w:eastAsia="宋体" w:cs="Times New Roman"/>
                      <w:kern w:val="0"/>
                      <w:sz w:val="21"/>
                      <w:szCs w:val="21"/>
                      <w:u w:val="single"/>
                      <w:lang w:bidi="ar"/>
                    </w:rPr>
                    <w:t>.045</w:t>
                  </w:r>
                </w:p>
              </w:tc>
            </w:tr>
          </w:tbl>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2.2.3</w:t>
            </w:r>
            <w:r>
              <w:rPr>
                <w:rFonts w:ascii="Times New Roman" w:hAnsi="Times New Roman" w:cs="Times New Roman"/>
                <w:szCs w:val="24"/>
              </w:rPr>
              <w:t>噪声</w:t>
            </w:r>
          </w:p>
          <w:p>
            <w:pPr>
              <w:pStyle w:val="32"/>
              <w:adjustRightInd/>
              <w:snapToGrid/>
              <w:ind w:firstLine="480"/>
              <w:rPr>
                <w:rFonts w:ascii="Times New Roman" w:hAnsi="Times New Roman" w:cs="Times New Roman"/>
                <w:szCs w:val="24"/>
              </w:rPr>
            </w:pPr>
            <w:r>
              <w:rPr>
                <w:rFonts w:ascii="Times New Roman" w:hAnsi="Times New Roman" w:cs="Times New Roman"/>
                <w:szCs w:val="24"/>
              </w:rPr>
              <w:t>建设项目运营期噪声源主要有教学生活噪声、配套动力设施运行时产生的噪声及机动车辆产生的交通噪声。</w:t>
            </w:r>
            <w:r>
              <w:rPr>
                <w:rFonts w:hint="eastAsia" w:ascii="Times New Roman" w:hAnsi="Times New Roman" w:cs="Times New Roman"/>
                <w:szCs w:val="24"/>
              </w:rPr>
              <w:t>经同类项目调查可知，主要噪声源的源强见表5-</w:t>
            </w:r>
            <w:r>
              <w:rPr>
                <w:rFonts w:ascii="Times New Roman" w:hAnsi="Times New Roman" w:cs="Times New Roman"/>
                <w:szCs w:val="24"/>
              </w:rPr>
              <w:t>18</w:t>
            </w:r>
          </w:p>
          <w:p>
            <w:pPr>
              <w:spacing w:line="360" w:lineRule="auto"/>
              <w:jc w:val="center"/>
              <w:rPr>
                <w:rFonts w:ascii="Times New Roman" w:hAnsi="Times New Roman" w:cs="Times New Roman"/>
                <w:b/>
                <w:bCs/>
              </w:rPr>
            </w:pPr>
            <w:r>
              <w:rPr>
                <w:rFonts w:hint="eastAsia" w:ascii="Times New Roman" w:hAnsi="Times New Roman" w:cs="Times New Roman"/>
                <w:b/>
                <w:bCs/>
              </w:rPr>
              <w:t>表5-</w:t>
            </w:r>
            <w:r>
              <w:rPr>
                <w:rFonts w:ascii="Times New Roman" w:hAnsi="Times New Roman" w:cs="Times New Roman"/>
                <w:b/>
                <w:bCs/>
              </w:rPr>
              <w:t>16  项目主要噪声源强</w:t>
            </w:r>
          </w:p>
          <w:tbl>
            <w:tblPr>
              <w:tblStyle w:val="24"/>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661"/>
              <w:gridCol w:w="1661"/>
              <w:gridCol w:w="1661"/>
              <w:gridCol w:w="16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00" w:type="pct"/>
                  <w:gridSpan w:val="2"/>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噪声源</w:t>
                  </w:r>
                </w:p>
              </w:tc>
              <w:tc>
                <w:tcPr>
                  <w:tcW w:w="1000" w:type="pct"/>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位置</w:t>
                  </w:r>
                </w:p>
              </w:tc>
              <w:tc>
                <w:tcPr>
                  <w:tcW w:w="1000" w:type="pct"/>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声压级（dB）</w:t>
                  </w:r>
                </w:p>
              </w:tc>
              <w:tc>
                <w:tcPr>
                  <w:tcW w:w="1000" w:type="pct"/>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restar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设备噪声</w:t>
                  </w:r>
                </w:p>
              </w:tc>
              <w:tc>
                <w:tcPr>
                  <w:tcW w:w="1000" w:type="pc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配电设备</w:t>
                  </w:r>
                </w:p>
              </w:tc>
              <w:tc>
                <w:tcPr>
                  <w:tcW w:w="1000" w:type="pc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配电室</w:t>
                  </w:r>
                </w:p>
              </w:tc>
              <w:tc>
                <w:tcPr>
                  <w:tcW w:w="1000" w:type="pc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80-85</w:t>
                  </w:r>
                </w:p>
              </w:tc>
              <w:tc>
                <w:tcPr>
                  <w:tcW w:w="1000" w:type="pct"/>
                  <w:vMerge w:val="restar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机械噪声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风机及排气扇</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相关教学室、实验室</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80-85</w:t>
                  </w:r>
                </w:p>
              </w:tc>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交通噪声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汽车行驶噪声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进出校园</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60-70</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交通噪声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restar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教学噪声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教育活动</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教学楼</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eastAsia="宋体" w:cs="Times New Roman"/>
                      <w:sz w:val="21"/>
                      <w:szCs w:val="21"/>
                    </w:rPr>
                  </w:pPr>
                  <w:r>
                    <w:rPr>
                      <w:rFonts w:hint="eastAsia" w:hAnsi="宋体" w:eastAsia="宋体" w:cs="宋体"/>
                      <w:sz w:val="21"/>
                      <w:szCs w:val="21"/>
                    </w:rPr>
                    <w:t>&lt;</w:t>
                  </w:r>
                  <w:r>
                    <w:rPr>
                      <w:rFonts w:hint="eastAsia" w:ascii="Times New Roman" w:hAnsi="Times New Roman" w:eastAsia="宋体" w:cs="Times New Roman"/>
                      <w:sz w:val="21"/>
                      <w:szCs w:val="21"/>
                    </w:rPr>
                    <w:t>70</w:t>
                  </w:r>
                </w:p>
              </w:tc>
              <w:tc>
                <w:tcPr>
                  <w:tcW w:w="1000" w:type="pct"/>
                  <w:vMerge w:val="restar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上课铃声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教学楼</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85</w:t>
                  </w:r>
                </w:p>
              </w:tc>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广播噪声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85</w:t>
                  </w:r>
                </w:p>
              </w:tc>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体育课噪声</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运动场</w:t>
                  </w:r>
                </w:p>
              </w:tc>
              <w:tc>
                <w:tcPr>
                  <w:tcW w:w="1000" w:type="pct"/>
                  <w:tcBorders>
                    <w:tl2br w:val="nil"/>
                    <w:tr2bl w:val="nil"/>
                  </w:tcBorders>
                  <w:vAlign w:val="center"/>
                </w:tcPr>
                <w:p>
                  <w:pPr>
                    <w:pStyle w:val="32"/>
                    <w:adjustRightInd/>
                    <w:snapToGrid/>
                    <w:spacing w:line="240" w:lineRule="auto"/>
                    <w:ind w:firstLine="0" w:firstLineChars="0"/>
                    <w:jc w:val="center"/>
                    <w:rPr>
                      <w:rFonts w:ascii="Times New Roman" w:hAnsi="Times New Roman" w:eastAsia="宋体" w:cs="Times New Roman"/>
                      <w:sz w:val="21"/>
                      <w:szCs w:val="21"/>
                    </w:rPr>
                  </w:pPr>
                  <w:r>
                    <w:rPr>
                      <w:rFonts w:hint="eastAsia" w:hAnsi="宋体" w:eastAsia="宋体" w:cs="宋体"/>
                      <w:sz w:val="21"/>
                      <w:szCs w:val="21"/>
                    </w:rPr>
                    <w:t>&lt;</w:t>
                  </w:r>
                  <w:r>
                    <w:rPr>
                      <w:rFonts w:hint="eastAsia" w:ascii="Times New Roman" w:hAnsi="Times New Roman" w:eastAsia="宋体" w:cs="Times New Roman"/>
                      <w:sz w:val="21"/>
                      <w:szCs w:val="21"/>
                    </w:rPr>
                    <w:t>80</w:t>
                  </w:r>
                </w:p>
              </w:tc>
              <w:tc>
                <w:tcPr>
                  <w:tcW w:w="1000" w:type="pct"/>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bl>
          <w:p>
            <w:pPr>
              <w:pStyle w:val="32"/>
              <w:adjustRightInd/>
              <w:snapToGrid/>
              <w:ind w:firstLine="480"/>
              <w:rPr>
                <w:rFonts w:ascii="Times New Roman" w:hAnsi="Times New Roman" w:cs="Times New Roman"/>
                <w:szCs w:val="24"/>
              </w:rPr>
            </w:pPr>
            <w:r>
              <w:rPr>
                <w:rFonts w:hint="eastAsia" w:ascii="Times New Roman" w:hAnsi="Times New Roman" w:cs="Times New Roman"/>
                <w:szCs w:val="24"/>
              </w:rPr>
              <w:t>2.2.4</w:t>
            </w:r>
            <w:r>
              <w:rPr>
                <w:rFonts w:ascii="Times New Roman" w:hAnsi="Times New Roman" w:cs="Times New Roman"/>
                <w:szCs w:val="24"/>
              </w:rPr>
              <w:t>固废</w:t>
            </w:r>
          </w:p>
          <w:p>
            <w:pPr>
              <w:pStyle w:val="32"/>
              <w:adjustRightInd/>
              <w:snapToGrid/>
              <w:ind w:firstLine="480"/>
              <w:rPr>
                <w:rFonts w:ascii="Times New Roman" w:hAnsi="Times New Roman" w:cs="Times New Roman"/>
                <w:szCs w:val="24"/>
              </w:rPr>
            </w:pPr>
            <w:r>
              <w:rPr>
                <w:rFonts w:ascii="Times New Roman" w:hAnsi="Times New Roman" w:cs="Times New Roman"/>
                <w:szCs w:val="24"/>
              </w:rPr>
              <w:t>建设项目运营期只有少量生活垃圾、餐厨垃圾和实验室固废产生。</w:t>
            </w:r>
          </w:p>
          <w:p>
            <w:pPr>
              <w:pStyle w:val="32"/>
              <w:adjustRightInd/>
              <w:snapToGrid/>
              <w:ind w:firstLine="480"/>
              <w:rPr>
                <w:rFonts w:ascii="Times New Roman" w:hAnsi="Times New Roman" w:cs="Times New Roman"/>
                <w:szCs w:val="24"/>
              </w:rPr>
            </w:pPr>
            <w:r>
              <w:rPr>
                <w:rFonts w:ascii="Times New Roman" w:hAnsi="Times New Roman" w:cs="Times New Roman"/>
                <w:szCs w:val="24"/>
              </w:rPr>
              <w:t>（1）生活垃圾</w:t>
            </w:r>
          </w:p>
          <w:p>
            <w:pPr>
              <w:pStyle w:val="32"/>
              <w:adjustRightInd/>
              <w:snapToGrid/>
              <w:ind w:firstLine="480"/>
              <w:rPr>
                <w:rFonts w:ascii="Times New Roman" w:hAnsi="Times New Roman" w:cs="Times New Roman"/>
                <w:szCs w:val="24"/>
              </w:rPr>
            </w:pPr>
            <w:r>
              <w:rPr>
                <w:rFonts w:ascii="Times New Roman" w:hAnsi="Times New Roman" w:cs="Times New Roman"/>
                <w:szCs w:val="24"/>
              </w:rPr>
              <w:t>建设项目共有学生及教职工人员约</w:t>
            </w:r>
            <w:r>
              <w:rPr>
                <w:rFonts w:hint="eastAsia" w:ascii="Times New Roman" w:hAnsi="Times New Roman" w:cs="Times New Roman"/>
                <w:szCs w:val="24"/>
              </w:rPr>
              <w:t>2690</w:t>
            </w:r>
            <w:r>
              <w:rPr>
                <w:rFonts w:ascii="Times New Roman" w:hAnsi="Times New Roman" w:cs="Times New Roman"/>
                <w:szCs w:val="24"/>
              </w:rPr>
              <w:t>人，按照每人每天产生垃圾</w:t>
            </w:r>
            <w:r>
              <w:rPr>
                <w:rFonts w:ascii="Times New Roman" w:hAnsi="Times New Roman" w:eastAsia="Times-Roman" w:cs="Times New Roman"/>
                <w:szCs w:val="24"/>
              </w:rPr>
              <w:t>0.5kg</w:t>
            </w:r>
            <w:r>
              <w:rPr>
                <w:rFonts w:ascii="Times New Roman" w:hAnsi="Times New Roman" w:cs="Times New Roman"/>
                <w:szCs w:val="24"/>
              </w:rPr>
              <w:t>计算，年工作日</w:t>
            </w:r>
            <w:r>
              <w:rPr>
                <w:rFonts w:ascii="Times New Roman" w:hAnsi="Times New Roman" w:eastAsia="Times-Roman" w:cs="Times New Roman"/>
                <w:szCs w:val="24"/>
              </w:rPr>
              <w:t>2</w:t>
            </w:r>
            <w:r>
              <w:rPr>
                <w:rFonts w:hint="eastAsia" w:ascii="Times New Roman" w:hAnsi="Times New Roman" w:eastAsia="宋体" w:cs="Times New Roman"/>
                <w:szCs w:val="24"/>
              </w:rPr>
              <w:t>0</w:t>
            </w:r>
            <w:r>
              <w:rPr>
                <w:rFonts w:ascii="Times New Roman" w:hAnsi="Times New Roman" w:eastAsia="Times-Roman" w:cs="Times New Roman"/>
                <w:szCs w:val="24"/>
              </w:rPr>
              <w:t>0</w:t>
            </w:r>
            <w:r>
              <w:rPr>
                <w:rFonts w:ascii="Times New Roman" w:hAnsi="Times New Roman" w:cs="Times New Roman"/>
                <w:szCs w:val="24"/>
              </w:rPr>
              <w:t>天，则生活垃圾的产生量为</w:t>
            </w:r>
            <w:r>
              <w:rPr>
                <w:rFonts w:hint="eastAsia" w:ascii="Times New Roman" w:hAnsi="Times New Roman" w:cs="Times New Roman"/>
                <w:szCs w:val="24"/>
              </w:rPr>
              <w:t>269</w:t>
            </w:r>
            <w:r>
              <w:rPr>
                <w:rFonts w:ascii="Times New Roman" w:hAnsi="Times New Roman" w:cs="Times New Roman"/>
                <w:szCs w:val="24"/>
              </w:rPr>
              <w:t>t</w:t>
            </w:r>
            <w:r>
              <w:rPr>
                <w:rFonts w:ascii="Times New Roman" w:hAnsi="Times New Roman" w:eastAsia="Times-Roman" w:cs="Times New Roman"/>
                <w:szCs w:val="24"/>
              </w:rPr>
              <w:t>/a</w:t>
            </w:r>
            <w:r>
              <w:rPr>
                <w:rFonts w:ascii="Times New Roman" w:hAnsi="Times New Roman" w:cs="Times New Roman"/>
                <w:szCs w:val="24"/>
              </w:rPr>
              <w:t>，生活垃圾由校内垃圾桶收集，由</w:t>
            </w:r>
            <w:r>
              <w:rPr>
                <w:rFonts w:hint="eastAsia" w:ascii="Times New Roman" w:hAnsi="Times New Roman" w:cs="Times New Roman"/>
                <w:szCs w:val="24"/>
              </w:rPr>
              <w:t>垃圾收集船统一收集后</w:t>
            </w:r>
            <w:r>
              <w:rPr>
                <w:rFonts w:ascii="Times New Roman" w:hAnsi="Times New Roman" w:cs="Times New Roman"/>
                <w:szCs w:val="24"/>
              </w:rPr>
              <w:t>，</w:t>
            </w:r>
            <w:r>
              <w:rPr>
                <w:rFonts w:hint="eastAsia" w:ascii="Times New Roman" w:hAnsi="Times New Roman" w:cs="Times New Roman"/>
                <w:szCs w:val="24"/>
              </w:rPr>
              <w:t>交</w:t>
            </w:r>
            <w:r>
              <w:rPr>
                <w:rFonts w:ascii="Times New Roman" w:hAnsi="Times New Roman" w:cs="Times New Roman"/>
                <w:szCs w:val="24"/>
              </w:rPr>
              <w:t>由环卫部门统一收集外运处理。</w:t>
            </w:r>
          </w:p>
          <w:p>
            <w:pPr>
              <w:pStyle w:val="32"/>
              <w:adjustRightInd/>
              <w:snapToGrid/>
              <w:ind w:firstLine="480"/>
              <w:rPr>
                <w:rFonts w:ascii="Times New Roman" w:hAnsi="Times New Roman" w:cs="Times New Roman"/>
                <w:bCs/>
              </w:rPr>
            </w:pPr>
            <w:r>
              <w:rPr>
                <w:rFonts w:ascii="Times New Roman" w:hAnsi="Times New Roman" w:cs="Times New Roman"/>
                <w:szCs w:val="24"/>
              </w:rPr>
              <w:t>（2）</w:t>
            </w:r>
            <w:r>
              <w:rPr>
                <w:rFonts w:ascii="Times New Roman" w:hAnsi="Times New Roman" w:cs="Times New Roman"/>
                <w:bCs/>
              </w:rPr>
              <w:t>餐厨垃圾</w:t>
            </w:r>
          </w:p>
          <w:p>
            <w:pPr>
              <w:pStyle w:val="32"/>
              <w:adjustRightInd/>
              <w:snapToGrid/>
              <w:ind w:firstLine="480"/>
              <w:rPr>
                <w:rFonts w:ascii="Times New Roman" w:hAnsi="Times New Roman" w:eastAsia="宋体" w:cs="Times New Roman"/>
                <w:szCs w:val="24"/>
              </w:rPr>
            </w:pPr>
            <w:r>
              <w:rPr>
                <w:rFonts w:ascii="Times New Roman" w:hAnsi="Times New Roman" w:cs="Times New Roman"/>
                <w:szCs w:val="24"/>
              </w:rPr>
              <w:t>根据《餐厨垃圾处理技术规范》人均垃圾日产生量为0.1kg</w:t>
            </w:r>
            <w:r>
              <w:rPr>
                <w:rFonts w:ascii="Times New Roman" w:hAnsi="Times New Roman" w:cs="Times New Roman"/>
                <w:bCs/>
                <w:szCs w:val="24"/>
              </w:rPr>
              <w:t>/人·次，</w:t>
            </w:r>
            <w:r>
              <w:rPr>
                <w:rFonts w:ascii="Times New Roman" w:hAnsi="Times New Roman" w:cs="Times New Roman"/>
                <w:szCs w:val="24"/>
              </w:rPr>
              <w:t>本项目食堂设计最大就餐人数为</w:t>
            </w:r>
            <w:r>
              <w:rPr>
                <w:rFonts w:hint="eastAsia" w:ascii="Times New Roman" w:hAnsi="Times New Roman" w:cs="Times New Roman"/>
                <w:szCs w:val="24"/>
              </w:rPr>
              <w:t>2690</w:t>
            </w:r>
            <w:r>
              <w:rPr>
                <w:rFonts w:ascii="Times New Roman" w:hAnsi="Times New Roman" w:cs="Times New Roman"/>
                <w:szCs w:val="24"/>
              </w:rPr>
              <w:t>人</w:t>
            </w:r>
            <w:r>
              <w:rPr>
                <w:rFonts w:hint="eastAsia" w:ascii="Times New Roman" w:hAnsi="Times New Roman" w:cs="Times New Roman"/>
                <w:szCs w:val="24"/>
              </w:rPr>
              <w:t>（小学部及教职工仅用早午餐，初中部三餐）</w:t>
            </w:r>
            <w:r>
              <w:rPr>
                <w:rFonts w:ascii="Times New Roman" w:hAnsi="Times New Roman" w:cs="Times New Roman"/>
                <w:szCs w:val="24"/>
              </w:rPr>
              <w:t>，产生的食物残渣约</w:t>
            </w:r>
            <w:r>
              <w:rPr>
                <w:rFonts w:hint="eastAsia" w:ascii="Times New Roman" w:hAnsi="Times New Roman" w:cs="Times New Roman"/>
                <w:szCs w:val="24"/>
              </w:rPr>
              <w:t>125.6</w:t>
            </w:r>
            <w:r>
              <w:rPr>
                <w:rFonts w:ascii="Times New Roman" w:hAnsi="Times New Roman" w:cs="Times New Roman"/>
                <w:szCs w:val="24"/>
              </w:rPr>
              <w:t>t/a。食堂的餐余垃圾应</w:t>
            </w:r>
            <w:r>
              <w:rPr>
                <w:rFonts w:ascii="Times New Roman" w:hAnsi="Times New Roman" w:cs="Times New Roman"/>
                <w:bCs/>
                <w:szCs w:val="24"/>
              </w:rPr>
              <w:t>交由专门的单位</w:t>
            </w:r>
            <w:r>
              <w:rPr>
                <w:rFonts w:ascii="Times New Roman" w:hAnsi="Times New Roman" w:cs="Times New Roman"/>
                <w:szCs w:val="24"/>
              </w:rPr>
              <w:t>（个人）</w:t>
            </w:r>
            <w:r>
              <w:rPr>
                <w:rFonts w:ascii="Times New Roman" w:hAnsi="Times New Roman" w:cs="Times New Roman"/>
                <w:bCs/>
                <w:szCs w:val="24"/>
              </w:rPr>
              <w:t>集中清运、处理，</w:t>
            </w:r>
            <w:r>
              <w:rPr>
                <w:rFonts w:ascii="Times New Roman" w:hAnsi="Times New Roman" w:cs="Times New Roman"/>
                <w:szCs w:val="24"/>
              </w:rPr>
              <w:t>需符合《饮食业环境保护技术规范》（</w:t>
            </w:r>
            <w:r>
              <w:rPr>
                <w:rFonts w:ascii="Times New Roman" w:hAnsi="Times New Roman" w:eastAsia="Times-Roman" w:cs="Times New Roman"/>
                <w:szCs w:val="24"/>
              </w:rPr>
              <w:t>HJ544-2010</w:t>
            </w:r>
            <w:r>
              <w:rPr>
                <w:rFonts w:ascii="Times New Roman" w:hAnsi="Times New Roman" w:cs="Times New Roman"/>
                <w:szCs w:val="24"/>
              </w:rPr>
              <w:t>）的相关规定。</w:t>
            </w:r>
          </w:p>
          <w:p>
            <w:pPr>
              <w:pStyle w:val="32"/>
              <w:adjustRightInd/>
              <w:snapToGrid/>
              <w:ind w:firstLine="480"/>
              <w:rPr>
                <w:rFonts w:ascii="Times New Roman" w:hAnsi="Times New Roman" w:eastAsia="宋体" w:cs="Times New Roman"/>
                <w:bCs/>
              </w:rPr>
            </w:pPr>
            <w:r>
              <w:rPr>
                <w:rFonts w:ascii="Times New Roman" w:hAnsi="Times New Roman" w:cs="Times New Roman"/>
                <w:szCs w:val="24"/>
              </w:rPr>
              <w:t>（</w:t>
            </w:r>
            <w:r>
              <w:rPr>
                <w:rFonts w:hint="eastAsia" w:ascii="Times New Roman" w:hAnsi="Times New Roman" w:cs="Times New Roman"/>
                <w:szCs w:val="24"/>
              </w:rPr>
              <w:t>3</w:t>
            </w:r>
            <w:r>
              <w:rPr>
                <w:rFonts w:ascii="Times New Roman" w:hAnsi="Times New Roman" w:cs="Times New Roman"/>
                <w:szCs w:val="24"/>
              </w:rPr>
              <w:t>）</w:t>
            </w:r>
            <w:r>
              <w:rPr>
                <w:rFonts w:ascii="Times New Roman" w:hAnsi="Times New Roman" w:cs="Times New Roman"/>
                <w:bCs/>
              </w:rPr>
              <w:t>实验室固废</w:t>
            </w:r>
          </w:p>
          <w:p>
            <w:pPr>
              <w:spacing w:line="360" w:lineRule="auto"/>
              <w:ind w:firstLine="523" w:firstLineChars="218"/>
              <w:rPr>
                <w:rFonts w:ascii="Times New Roman" w:hAnsi="Times New Roman" w:cs="Times New Roman"/>
                <w:bCs/>
                <w:szCs w:val="24"/>
                <w:u w:val="single"/>
              </w:rPr>
            </w:pPr>
            <w:r>
              <w:rPr>
                <w:rFonts w:ascii="Times New Roman" w:hAnsi="Times New Roman" w:cs="Times New Roman"/>
                <w:bCs/>
                <w:szCs w:val="24"/>
                <w:u w:val="single"/>
              </w:rPr>
              <w:t>项目实验室固废主要为化学和生物实验室在教学过程中产生的固废和清洗废液，根据建设单位提供的资料显示，在物理实验教学过程中不产生固废。</w:t>
            </w:r>
          </w:p>
          <w:p>
            <w:pPr>
              <w:spacing w:line="360" w:lineRule="auto"/>
              <w:ind w:firstLine="523" w:firstLineChars="218"/>
              <w:rPr>
                <w:rFonts w:ascii="Times New Roman" w:hAnsi="Times New Roman" w:eastAsia="宋体" w:cs="Times New Roman"/>
                <w:bCs/>
                <w:szCs w:val="24"/>
                <w:u w:val="single"/>
              </w:rPr>
            </w:pPr>
            <w:r>
              <w:rPr>
                <w:rFonts w:ascii="Times New Roman" w:hAnsi="Times New Roman" w:cs="Times New Roman"/>
                <w:bCs/>
                <w:szCs w:val="24"/>
                <w:u w:val="single"/>
              </w:rPr>
              <w:t>化学实验室固废主要是检验过程产生的废酸、废碱及废包装容器等，均属于危险废物，危废编号分别为：HW34（代码900-349-34）、HW35（代码900-399-35）、HW49（代码900-047-49），根据类比同类型实验室实验固废资料可知，其废酸、废碱、废包装容器产生量分别为0.35t/a、0.35t/a、0.5t/a。实验室固废收集后在危废暂存间进行暂存，定期交由具有处置资质的单位进行处理。</w:t>
            </w:r>
          </w:p>
          <w:p>
            <w:pPr>
              <w:spacing w:line="360" w:lineRule="auto"/>
              <w:ind w:firstLine="523" w:firstLineChars="218"/>
              <w:rPr>
                <w:rFonts w:ascii="Times New Roman" w:hAnsi="Times New Roman" w:cs="Times New Roman"/>
                <w:bCs/>
                <w:szCs w:val="24"/>
              </w:rPr>
            </w:pPr>
            <w:r>
              <w:rPr>
                <w:rFonts w:ascii="Times New Roman" w:hAnsi="Times New Roman" w:cs="Times New Roman"/>
                <w:bCs/>
                <w:szCs w:val="24"/>
                <w:u w:val="single"/>
              </w:rPr>
              <w:t>生物实验室产生的生物培养基等含生物废料属于危险废物，危废代码为：HW49（900-047-49），须灭活处理后按危险废物规范化处理要求委托有资质的单位处理（产生量约为0.1t/a）。</w:t>
            </w:r>
          </w:p>
          <w:p>
            <w:pPr>
              <w:spacing w:line="360" w:lineRule="auto"/>
              <w:ind w:firstLine="480" w:firstLineChars="200"/>
              <w:rPr>
                <w:rFonts w:ascii="Times New Roman" w:hAnsi="Times New Roman" w:cs="Times New Roman"/>
                <w:bCs/>
                <w:szCs w:val="24"/>
              </w:rPr>
            </w:pPr>
            <w:r>
              <w:rPr>
                <w:rFonts w:ascii="Times New Roman" w:hAnsi="Times New Roman" w:cs="Times New Roman"/>
                <w:bCs/>
                <w:szCs w:val="24"/>
              </w:rPr>
              <w:t>（5）污泥</w:t>
            </w:r>
          </w:p>
          <w:p>
            <w:pPr>
              <w:pStyle w:val="31"/>
              <w:adjustRightInd/>
              <w:spacing w:line="360" w:lineRule="auto"/>
              <w:ind w:firstLine="480" w:firstLineChars="200"/>
              <w:rPr>
                <w:rFonts w:ascii="Times New Roman" w:hAnsi="Times New Roman"/>
                <w:color w:val="auto"/>
              </w:rPr>
            </w:pPr>
            <w:r>
              <w:rPr>
                <w:rFonts w:ascii="Times New Roman" w:hAnsi="Times New Roman"/>
                <w:color w:val="auto"/>
              </w:rPr>
              <w:t>项目运营期间污泥主要来源于</w:t>
            </w:r>
            <w:r>
              <w:rPr>
                <w:rFonts w:hint="eastAsia" w:ascii="Times New Roman" w:hAnsi="Times New Roman"/>
                <w:color w:val="auto"/>
              </w:rPr>
              <w:t>处理</w:t>
            </w:r>
            <w:r>
              <w:rPr>
                <w:rFonts w:ascii="Times New Roman" w:hAnsi="Times New Roman"/>
                <w:color w:val="auto"/>
              </w:rPr>
              <w:t>生活污水、食堂废水以及实验室废水</w:t>
            </w:r>
            <w:r>
              <w:rPr>
                <w:rFonts w:hint="eastAsia" w:ascii="Times New Roman" w:hAnsi="Times New Roman"/>
                <w:color w:val="auto"/>
              </w:rPr>
              <w:t>的污水处理站</w:t>
            </w:r>
            <w:r>
              <w:rPr>
                <w:rFonts w:ascii="Times New Roman" w:hAnsi="Times New Roman"/>
                <w:color w:val="auto"/>
              </w:rPr>
              <w:t>过程。根据本次评价工程分析，生活污水、食堂废水污泥、物理实验室及生物实验室污泥预计最大产生量约为5.7625t/a。</w:t>
            </w:r>
          </w:p>
          <w:p>
            <w:pPr>
              <w:pStyle w:val="31"/>
              <w:adjustRightInd/>
              <w:spacing w:line="360" w:lineRule="auto"/>
              <w:ind w:firstLine="480" w:firstLineChars="200"/>
              <w:rPr>
                <w:rFonts w:ascii="Times New Roman" w:hAnsi="Times New Roman"/>
                <w:color w:val="auto"/>
              </w:rPr>
            </w:pPr>
            <w:r>
              <w:rPr>
                <w:rFonts w:ascii="Times New Roman" w:hAnsi="Times New Roman"/>
                <w:color w:val="auto"/>
              </w:rPr>
              <w:t>化学实验室废水经自建的化学实验室污水处理设施处理后预计产生污泥约0.199t/a,</w:t>
            </w:r>
            <w:r>
              <w:rPr>
                <w:rFonts w:hint="eastAsia" w:ascii="Times New Roman" w:hAnsi="Times New Roman"/>
                <w:color w:val="auto"/>
              </w:rPr>
              <w:t>化</w:t>
            </w:r>
            <w:r>
              <w:rPr>
                <w:rFonts w:ascii="Times New Roman" w:hAnsi="Times New Roman"/>
                <w:color w:val="auto"/>
              </w:rPr>
              <w:t>学实验过程中会使用有机溶剂、催化剂等物质，可能含有一定的有毒物质。根据《危险废物名录》（2016年）中</w:t>
            </w:r>
            <w:r>
              <w:rPr>
                <w:rFonts w:ascii="Times New Roman" w:hAnsi="Times New Roman"/>
                <w:bCs/>
                <w:color w:val="auto"/>
              </w:rPr>
              <w:t>HW49（代码900-349-34）“研究、开发和教学活动中，化学和生物实验室产生的废物（不包括 HW03、 900-999-49）”，故该固废属于危险废物，</w:t>
            </w:r>
            <w:r>
              <w:rPr>
                <w:rFonts w:ascii="Times New Roman" w:hAnsi="Times New Roman"/>
                <w:color w:val="auto"/>
              </w:rPr>
              <w:t>该部分污泥经收集后交由具有资质的专业处理机构进行处置。</w:t>
            </w:r>
          </w:p>
          <w:p>
            <w:pPr>
              <w:pStyle w:val="31"/>
              <w:adjustRightInd/>
              <w:spacing w:line="360" w:lineRule="auto"/>
              <w:ind w:firstLine="480" w:firstLineChars="200"/>
              <w:rPr>
                <w:rFonts w:ascii="Times New Roman" w:hAnsi="Times New Roman"/>
                <w:color w:val="auto"/>
              </w:rPr>
            </w:pPr>
            <w:r>
              <w:rPr>
                <w:rFonts w:hint="eastAsia" w:ascii="Times New Roman" w:hAnsi="Times New Roman"/>
                <w:color w:val="auto"/>
              </w:rPr>
              <w:t>（6）</w:t>
            </w:r>
            <w:r>
              <w:rPr>
                <w:rFonts w:ascii="Times New Roman" w:hAnsi="Times New Roman"/>
                <w:color w:val="auto"/>
              </w:rPr>
              <w:t>医疗废物</w:t>
            </w:r>
          </w:p>
          <w:p>
            <w:pPr>
              <w:tabs>
                <w:tab w:val="left" w:pos="8685"/>
              </w:tabs>
              <w:spacing w:line="360" w:lineRule="auto"/>
              <w:ind w:firstLine="480" w:firstLineChars="200"/>
              <w:rPr>
                <w:rFonts w:ascii="Times New Roman" w:hAnsi="Times New Roman" w:cs="Times New Roman"/>
              </w:rPr>
            </w:pPr>
            <w:r>
              <w:rPr>
                <w:rFonts w:ascii="Times New Roman" w:hAnsi="Times New Roman" w:cs="Times New Roman"/>
              </w:rPr>
              <w:t>根据《学校卫生工作条例》、《国家学校体育卫生条件试行基本标准》、《医疗机构基本标准》（试行）要求，项目为寄宿制学校应设置卫生室（医务室），学校医务室位于六合书院第二层，承担学校预防保健、健康教育、常见病和传染病预防与控制，学校卫生日常检查，并为学校师生提供必要的医疗服务。根据建设单位提供的资料，医务室的日常工作主要为学生提供配药、打针、挂点滴（较少）等服务，不设手术室、化验室、放射科等，医疗废物产生量较少，根据类比相似项目，预计本项目医疗废物产生量约为0.5t/a。</w:t>
            </w:r>
          </w:p>
          <w:p>
            <w:pPr>
              <w:spacing w:line="360" w:lineRule="auto"/>
              <w:jc w:val="center"/>
              <w:rPr>
                <w:rFonts w:ascii="Times New Roman" w:hAnsi="Times New Roman" w:cs="Times New Roman"/>
                <w:b/>
                <w:bCs/>
              </w:rPr>
            </w:pPr>
            <w:r>
              <w:rPr>
                <w:rFonts w:ascii="Times New Roman" w:hAnsi="Times New Roman" w:cs="Times New Roman"/>
                <w:b/>
                <w:bCs/>
              </w:rPr>
              <w:t>表5-17  固废产生及处置措施一览表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872"/>
              <w:gridCol w:w="703"/>
              <w:gridCol w:w="1971"/>
              <w:gridCol w:w="1346"/>
              <w:gridCol w:w="341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87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序号</w:t>
                  </w:r>
                </w:p>
              </w:tc>
              <w:tc>
                <w:tcPr>
                  <w:tcW w:w="2674" w:type="dxa"/>
                  <w:gridSpan w:val="2"/>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固废名称</w:t>
                  </w:r>
                </w:p>
              </w:tc>
              <w:tc>
                <w:tcPr>
                  <w:tcW w:w="1346"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产生量（t/a）</w:t>
                  </w:r>
                </w:p>
              </w:tc>
              <w:tc>
                <w:tcPr>
                  <w:tcW w:w="3414"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处理方案</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87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w:t>
                  </w:r>
                </w:p>
              </w:tc>
              <w:tc>
                <w:tcPr>
                  <w:tcW w:w="2674" w:type="dxa"/>
                  <w:gridSpan w:val="2"/>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1346" w:type="dxa"/>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w:t>
                  </w:r>
                  <w:r>
                    <w:rPr>
                      <w:rFonts w:ascii="Times New Roman" w:hAnsi="Times New Roman" w:eastAsia="宋体" w:cs="Times New Roman"/>
                      <w:sz w:val="21"/>
                      <w:szCs w:val="21"/>
                    </w:rPr>
                    <w:t>69</w:t>
                  </w:r>
                </w:p>
              </w:tc>
              <w:tc>
                <w:tcPr>
                  <w:tcW w:w="3414"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环卫处收集无害化处置</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87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2674"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餐</w:t>
                  </w:r>
                  <w:r>
                    <w:rPr>
                      <w:rFonts w:ascii="Times New Roman" w:hAnsi="Times New Roman" w:cs="Times New Roman"/>
                      <w:bCs/>
                      <w:sz w:val="21"/>
                      <w:szCs w:val="21"/>
                    </w:rPr>
                    <w:t>厨</w:t>
                  </w:r>
                  <w:r>
                    <w:rPr>
                      <w:rFonts w:ascii="Times New Roman" w:hAnsi="Times New Roman" w:cs="Times New Roman"/>
                      <w:sz w:val="21"/>
                      <w:szCs w:val="21"/>
                    </w:rPr>
                    <w:t>垃圾</w:t>
                  </w:r>
                </w:p>
              </w:tc>
              <w:tc>
                <w:tcPr>
                  <w:tcW w:w="134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125.6</w:t>
                  </w:r>
                </w:p>
              </w:tc>
              <w:tc>
                <w:tcPr>
                  <w:tcW w:w="3414"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交由专门单位（个人）无害化处理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w:t>
                  </w:r>
                </w:p>
              </w:tc>
              <w:tc>
                <w:tcPr>
                  <w:tcW w:w="703"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固废</w:t>
                  </w:r>
                </w:p>
              </w:tc>
              <w:tc>
                <w:tcPr>
                  <w:tcW w:w="1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废酸</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w:t>
                  </w:r>
                </w:p>
              </w:tc>
              <w:tc>
                <w:tcPr>
                  <w:tcW w:w="3414"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bCs/>
                      <w:sz w:val="21"/>
                      <w:szCs w:val="21"/>
                    </w:rPr>
                    <w:t>送有资质单位集中无害化处理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03"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废碱</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w:t>
                  </w:r>
                </w:p>
              </w:tc>
              <w:tc>
                <w:tcPr>
                  <w:tcW w:w="3414"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03"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97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实验室清洗废液</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8</w:t>
                  </w:r>
                  <w:r>
                    <w:rPr>
                      <w:rFonts w:ascii="Times New Roman" w:hAnsi="Times New Roman" w:cs="Times New Roman"/>
                      <w:sz w:val="21"/>
                      <w:szCs w:val="21"/>
                    </w:rPr>
                    <w:t>0</w:t>
                  </w:r>
                </w:p>
              </w:tc>
              <w:tc>
                <w:tcPr>
                  <w:tcW w:w="3414"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03"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废包装容器</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w:t>
                  </w:r>
                </w:p>
              </w:tc>
              <w:tc>
                <w:tcPr>
                  <w:tcW w:w="3414"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03"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97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生物培养基等</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w:t>
                  </w:r>
                </w:p>
              </w:tc>
              <w:tc>
                <w:tcPr>
                  <w:tcW w:w="3414" w:type="dxa"/>
                  <w:tcBorders>
                    <w:tl2br w:val="nil"/>
                    <w:tr2bl w:val="nil"/>
                  </w:tcBorders>
                  <w:vAlign w:val="center"/>
                </w:tcPr>
                <w:p>
                  <w:pPr>
                    <w:spacing w:line="240" w:lineRule="auto"/>
                    <w:jc w:val="center"/>
                    <w:rPr>
                      <w:rFonts w:ascii="Times New Roman" w:hAnsi="Times New Roman" w:cs="Times New Roman"/>
                      <w:bCs/>
                      <w:sz w:val="21"/>
                      <w:szCs w:val="21"/>
                    </w:rPr>
                  </w:pPr>
                  <w:r>
                    <w:rPr>
                      <w:rFonts w:ascii="Times New Roman" w:hAnsi="Times New Roman" w:cs="Times New Roman"/>
                      <w:sz w:val="21"/>
                      <w:szCs w:val="21"/>
                    </w:rPr>
                    <w:t>灭活后交由有</w:t>
                  </w:r>
                  <w:r>
                    <w:rPr>
                      <w:rFonts w:ascii="Times New Roman" w:hAnsi="Times New Roman" w:cs="Times New Roman"/>
                      <w:bCs/>
                      <w:sz w:val="21"/>
                      <w:szCs w:val="21"/>
                    </w:rPr>
                    <w:t>资质单位集中无害化</w:t>
                  </w:r>
                </w:p>
                <w:p>
                  <w:pPr>
                    <w:spacing w:line="240" w:lineRule="auto"/>
                    <w:jc w:val="center"/>
                    <w:rPr>
                      <w:rFonts w:ascii="Times New Roman" w:hAnsi="Times New Roman" w:eastAsia="宋体" w:cs="Times New Roman"/>
                      <w:sz w:val="21"/>
                      <w:szCs w:val="21"/>
                    </w:rPr>
                  </w:pPr>
                  <w:r>
                    <w:rPr>
                      <w:rFonts w:ascii="Times New Roman" w:hAnsi="Times New Roman" w:cs="Times New Roman"/>
                      <w:bCs/>
                      <w:sz w:val="21"/>
                      <w:szCs w:val="21"/>
                    </w:rPr>
                    <w:t>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restart"/>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4</w:t>
                  </w:r>
                </w:p>
              </w:tc>
              <w:tc>
                <w:tcPr>
                  <w:tcW w:w="703" w:type="dxa"/>
                  <w:vMerge w:val="restar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污泥</w:t>
                  </w:r>
                </w:p>
              </w:tc>
              <w:tc>
                <w:tcPr>
                  <w:tcW w:w="1971"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污水处理站</w:t>
                  </w:r>
                  <w:r>
                    <w:rPr>
                      <w:rFonts w:ascii="Times New Roman" w:hAnsi="Times New Roman" w:cs="Times New Roman"/>
                      <w:sz w:val="21"/>
                      <w:szCs w:val="21"/>
                    </w:rPr>
                    <w:t>一般污泥</w:t>
                  </w:r>
                </w:p>
              </w:tc>
              <w:tc>
                <w:tcPr>
                  <w:tcW w:w="134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5.7625</w:t>
                  </w:r>
                </w:p>
              </w:tc>
              <w:tc>
                <w:tcPr>
                  <w:tcW w:w="3414" w:type="dxa"/>
                  <w:tcBorders>
                    <w:tl2br w:val="nil"/>
                    <w:tr2bl w:val="nil"/>
                  </w:tcBorders>
                  <w:vAlign w:val="center"/>
                </w:tcPr>
                <w:p>
                  <w:pPr>
                    <w:spacing w:line="240" w:lineRule="auto"/>
                    <w:jc w:val="center"/>
                    <w:rPr>
                      <w:rFonts w:ascii="Times New Roman" w:hAnsi="Times New Roman" w:eastAsia="宋体" w:cs="Times New Roman"/>
                      <w:bCs/>
                      <w:sz w:val="21"/>
                      <w:szCs w:val="21"/>
                    </w:rPr>
                  </w:pPr>
                  <w:r>
                    <w:rPr>
                      <w:rFonts w:ascii="Times New Roman" w:hAnsi="Times New Roman" w:cs="Times New Roman"/>
                      <w:bCs/>
                      <w:sz w:val="21"/>
                      <w:szCs w:val="21"/>
                    </w:rPr>
                    <w:t>出售至有机质肥料生产厂家</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703"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971"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危废污泥</w:t>
                  </w:r>
                </w:p>
              </w:tc>
              <w:tc>
                <w:tcPr>
                  <w:tcW w:w="134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0.199</w:t>
                  </w:r>
                </w:p>
              </w:tc>
              <w:tc>
                <w:tcPr>
                  <w:tcW w:w="3414" w:type="dxa"/>
                  <w:tcBorders>
                    <w:tl2br w:val="nil"/>
                    <w:tr2bl w:val="nil"/>
                  </w:tcBorders>
                  <w:vAlign w:val="center"/>
                </w:tcPr>
                <w:p>
                  <w:pPr>
                    <w:spacing w:line="240" w:lineRule="auto"/>
                    <w:jc w:val="center"/>
                    <w:rPr>
                      <w:rFonts w:ascii="Times New Roman" w:hAnsi="Times New Roman" w:eastAsia="宋体" w:cs="Times New Roman"/>
                      <w:bCs/>
                      <w:sz w:val="21"/>
                      <w:szCs w:val="21"/>
                    </w:rPr>
                  </w:pPr>
                  <w:r>
                    <w:rPr>
                      <w:rFonts w:ascii="Times New Roman" w:hAnsi="Times New Roman" w:cs="Times New Roman"/>
                      <w:bCs/>
                      <w:sz w:val="21"/>
                      <w:szCs w:val="21"/>
                    </w:rPr>
                    <w:t>送有资质单位集中无害化处理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2674"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医疗废物</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w:t>
                  </w:r>
                </w:p>
              </w:tc>
              <w:tc>
                <w:tcPr>
                  <w:tcW w:w="3414" w:type="dxa"/>
                  <w:tcBorders>
                    <w:tl2br w:val="nil"/>
                    <w:tr2bl w:val="nil"/>
                  </w:tcBorders>
                  <w:vAlign w:val="center"/>
                </w:tcPr>
                <w:p>
                  <w:pPr>
                    <w:spacing w:line="240" w:lineRule="auto"/>
                    <w:jc w:val="center"/>
                    <w:rPr>
                      <w:rFonts w:ascii="Times New Roman" w:hAnsi="Times New Roman" w:cs="Times New Roman"/>
                      <w:bCs/>
                      <w:sz w:val="21"/>
                      <w:szCs w:val="21"/>
                    </w:rPr>
                  </w:pPr>
                  <w:r>
                    <w:rPr>
                      <w:rFonts w:ascii="Times New Roman" w:hAnsi="Times New Roman" w:cs="Times New Roman"/>
                      <w:bCs/>
                      <w:sz w:val="21"/>
                      <w:szCs w:val="21"/>
                    </w:rPr>
                    <w:t>送有资质单位集中无害化处理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00" w:hRule="atLeast"/>
                <w:jc w:val="center"/>
              </w:trPr>
              <w:tc>
                <w:tcPr>
                  <w:tcW w:w="87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w:t>
                  </w:r>
                </w:p>
              </w:tc>
              <w:tc>
                <w:tcPr>
                  <w:tcW w:w="2674"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合计</w:t>
                  </w:r>
                </w:p>
              </w:tc>
              <w:tc>
                <w:tcPr>
                  <w:tcW w:w="134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w:t>
                  </w:r>
                  <w:r>
                    <w:rPr>
                      <w:rFonts w:ascii="Times New Roman" w:hAnsi="Times New Roman" w:cs="Times New Roman"/>
                      <w:sz w:val="21"/>
                      <w:szCs w:val="21"/>
                    </w:rPr>
                    <w:t>82.4615</w:t>
                  </w:r>
                </w:p>
              </w:tc>
              <w:tc>
                <w:tcPr>
                  <w:tcW w:w="3414" w:type="dxa"/>
                  <w:tcBorders>
                    <w:tl2br w:val="nil"/>
                    <w:tr2bl w:val="nil"/>
                  </w:tcBorders>
                  <w:vAlign w:val="center"/>
                </w:tcPr>
                <w:p>
                  <w:pPr>
                    <w:spacing w:line="240" w:lineRule="auto"/>
                    <w:jc w:val="center"/>
                    <w:rPr>
                      <w:rFonts w:ascii="Times New Roman" w:hAnsi="Times New Roman" w:cs="Times New Roman"/>
                      <w:bCs/>
                      <w:sz w:val="21"/>
                      <w:szCs w:val="21"/>
                    </w:rPr>
                  </w:pPr>
                  <w:r>
                    <w:rPr>
                      <w:rFonts w:hint="eastAsia" w:ascii="Times New Roman" w:hAnsi="Times New Roman" w:cs="Times New Roman"/>
                      <w:bCs/>
                      <w:sz w:val="21"/>
                      <w:szCs w:val="21"/>
                    </w:rPr>
                    <w:t>/</w:t>
                  </w:r>
                </w:p>
              </w:tc>
            </w:tr>
          </w:tbl>
          <w:p>
            <w:pPr>
              <w:spacing w:line="360" w:lineRule="auto"/>
              <w:jc w:val="center"/>
              <w:rPr>
                <w:rFonts w:ascii="Times New Roman" w:hAnsi="Times New Roman" w:cs="Times New Roman"/>
                <w:b/>
                <w:bCs/>
              </w:rPr>
            </w:pPr>
            <w:r>
              <w:rPr>
                <w:rFonts w:ascii="Times New Roman" w:hAnsi="Times New Roman" w:cs="Times New Roman"/>
                <w:b/>
                <w:bCs/>
              </w:rPr>
              <w:t>表5-18  项目危险废物情况统计表</w:t>
            </w:r>
          </w:p>
          <w:tbl>
            <w:tblPr>
              <w:tblStyle w:val="23"/>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427"/>
              <w:gridCol w:w="776"/>
              <w:gridCol w:w="1406"/>
              <w:gridCol w:w="871"/>
              <w:gridCol w:w="547"/>
              <w:gridCol w:w="427"/>
              <w:gridCol w:w="676"/>
              <w:gridCol w:w="637"/>
              <w:gridCol w:w="900"/>
              <w:gridCol w:w="637"/>
              <w:gridCol w:w="5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3"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序号</w:t>
                  </w:r>
                </w:p>
              </w:tc>
              <w:tc>
                <w:tcPr>
                  <w:tcW w:w="256"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危废名称</w:t>
                  </w:r>
                </w:p>
              </w:tc>
              <w:tc>
                <w:tcPr>
                  <w:tcW w:w="424"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危废类别</w:t>
                  </w:r>
                </w:p>
              </w:tc>
              <w:tc>
                <w:tcPr>
                  <w:tcW w:w="601"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危废代码</w:t>
                  </w:r>
                </w:p>
              </w:tc>
              <w:tc>
                <w:tcPr>
                  <w:tcW w:w="512"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产生量（t/a）</w:t>
                  </w:r>
                </w:p>
              </w:tc>
              <w:tc>
                <w:tcPr>
                  <w:tcW w:w="424"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产生工序及装置</w:t>
                  </w:r>
                </w:p>
              </w:tc>
              <w:tc>
                <w:tcPr>
                  <w:tcW w:w="341"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形态</w:t>
                  </w:r>
                </w:p>
              </w:tc>
              <w:tc>
                <w:tcPr>
                  <w:tcW w:w="512"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主要成分</w:t>
                  </w:r>
                </w:p>
              </w:tc>
              <w:tc>
                <w:tcPr>
                  <w:tcW w:w="406"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有害成分</w:t>
                  </w:r>
                </w:p>
              </w:tc>
              <w:tc>
                <w:tcPr>
                  <w:tcW w:w="362"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产废周期</w:t>
                  </w:r>
                </w:p>
              </w:tc>
              <w:tc>
                <w:tcPr>
                  <w:tcW w:w="426"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危险特性</w:t>
                  </w:r>
                </w:p>
              </w:tc>
              <w:tc>
                <w:tcPr>
                  <w:tcW w:w="563" w:type="pct"/>
                  <w:tcBorders>
                    <w:bottom w:val="single" w:color="auto" w:sz="12" w:space="0"/>
                  </w:tcBorders>
                  <w:vAlign w:val="center"/>
                </w:tcPr>
                <w:p>
                  <w:pPr>
                    <w:pStyle w:val="34"/>
                    <w:spacing w:line="240" w:lineRule="auto"/>
                    <w:ind w:firstLine="0" w:firstLineChars="0"/>
                    <w:contextualSpacing/>
                    <w:rPr>
                      <w:rFonts w:ascii="Times New Roman" w:hAnsi="Times New Roman" w:cs="Times New Roman"/>
                      <w:b/>
                      <w:bCs/>
                      <w:sz w:val="21"/>
                      <w:szCs w:val="21"/>
                    </w:rPr>
                  </w:pPr>
                  <w:r>
                    <w:rPr>
                      <w:rFonts w:ascii="Times New Roman" w:hAnsi="Times New Roman" w:cs="Times New Roman"/>
                      <w:b/>
                      <w:bCs/>
                      <w:sz w:val="21"/>
                      <w:szCs w:val="21"/>
                    </w:rPr>
                    <w:t>污染防治措施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op w:val="single" w:color="auto" w:sz="12" w:space="0"/>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256" w:type="pct"/>
                  <w:tcBorders>
                    <w:top w:val="single" w:color="auto" w:sz="12" w:space="0"/>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废酸</w:t>
                  </w:r>
                </w:p>
              </w:tc>
              <w:tc>
                <w:tcPr>
                  <w:tcW w:w="424" w:type="pct"/>
                  <w:tcBorders>
                    <w:top w:val="single" w:color="auto" w:sz="12" w:space="0"/>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HW34</w:t>
                  </w:r>
                </w:p>
              </w:tc>
              <w:tc>
                <w:tcPr>
                  <w:tcW w:w="601" w:type="pct"/>
                  <w:tcBorders>
                    <w:top w:val="single" w:color="auto" w:sz="12" w:space="0"/>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cs="Times New Roman"/>
                      <w:bCs/>
                      <w:sz w:val="21"/>
                      <w:szCs w:val="21"/>
                    </w:rPr>
                    <w:t>900-349-34</w:t>
                  </w:r>
                </w:p>
              </w:tc>
              <w:tc>
                <w:tcPr>
                  <w:tcW w:w="512" w:type="pct"/>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0.35</w:t>
                  </w:r>
                </w:p>
              </w:tc>
              <w:tc>
                <w:tcPr>
                  <w:tcW w:w="424" w:type="pct"/>
                  <w:tcBorders>
                    <w:top w:val="single" w:color="auto" w:sz="12" w:space="0"/>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教学过程中</w:t>
                  </w:r>
                </w:p>
              </w:tc>
              <w:tc>
                <w:tcPr>
                  <w:tcW w:w="341" w:type="pct"/>
                  <w:tcBorders>
                    <w:top w:val="single" w:color="auto" w:sz="12" w:space="0"/>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液态</w:t>
                  </w:r>
                </w:p>
              </w:tc>
              <w:tc>
                <w:tcPr>
                  <w:tcW w:w="512" w:type="pct"/>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废酸</w:t>
                  </w:r>
                </w:p>
              </w:tc>
              <w:tc>
                <w:tcPr>
                  <w:tcW w:w="406" w:type="pct"/>
                  <w:tcBorders>
                    <w:top w:val="single" w:color="auto" w:sz="12" w:space="0"/>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废酸</w:t>
                  </w:r>
                </w:p>
              </w:tc>
              <w:tc>
                <w:tcPr>
                  <w:tcW w:w="362"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0.35t/a</w:t>
                  </w:r>
                </w:p>
              </w:tc>
              <w:tc>
                <w:tcPr>
                  <w:tcW w:w="426" w:type="pct"/>
                  <w:tcBorders>
                    <w:top w:val="single" w:color="auto" w:sz="12" w:space="0"/>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毒性</w:t>
                  </w:r>
                </w:p>
              </w:tc>
              <w:tc>
                <w:tcPr>
                  <w:tcW w:w="563" w:type="pct"/>
                  <w:vMerge w:val="restart"/>
                  <w:tcBorders>
                    <w:top w:val="single" w:color="auto" w:sz="12" w:space="0"/>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cs="Times New Roman"/>
                      <w:sz w:val="21"/>
                      <w:szCs w:val="21"/>
                    </w:rPr>
                    <w:t>容器收集后经危废暂存间暂存后交由资质单位处理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256"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废碱</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HW35</w:t>
                  </w:r>
                </w:p>
              </w:tc>
              <w:tc>
                <w:tcPr>
                  <w:tcW w:w="601" w:type="pct"/>
                  <w:tcBorders>
                    <w:tl2br w:val="nil"/>
                    <w:tr2bl w:val="nil"/>
                  </w:tcBorders>
                  <w:vAlign w:val="center"/>
                </w:tcPr>
                <w:p>
                  <w:pPr>
                    <w:spacing w:line="240" w:lineRule="auto"/>
                    <w:contextualSpacing/>
                    <w:jc w:val="center"/>
                    <w:rPr>
                      <w:rFonts w:ascii="Times New Roman" w:hAnsi="Times New Roman" w:cs="Times New Roman"/>
                      <w:bCs/>
                      <w:sz w:val="21"/>
                      <w:szCs w:val="21"/>
                    </w:rPr>
                  </w:pPr>
                  <w:r>
                    <w:rPr>
                      <w:rFonts w:ascii="Times New Roman" w:hAnsi="Times New Roman" w:cs="Times New Roman"/>
                      <w:bCs/>
                      <w:sz w:val="21"/>
                      <w:szCs w:val="21"/>
                    </w:rPr>
                    <w:t>900-399-35</w:t>
                  </w:r>
                </w:p>
              </w:tc>
              <w:tc>
                <w:tcPr>
                  <w:tcW w:w="51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w:t>
                  </w:r>
                </w:p>
              </w:tc>
              <w:tc>
                <w:tcPr>
                  <w:tcW w:w="424" w:type="pct"/>
                  <w:tcBorders>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教学过程中</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液态</w:t>
                  </w:r>
                </w:p>
              </w:tc>
              <w:tc>
                <w:tcPr>
                  <w:tcW w:w="51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废碱</w:t>
                  </w:r>
                </w:p>
              </w:tc>
              <w:tc>
                <w:tcPr>
                  <w:tcW w:w="406"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废碱</w:t>
                  </w:r>
                </w:p>
              </w:tc>
              <w:tc>
                <w:tcPr>
                  <w:tcW w:w="36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毒性</w:t>
                  </w:r>
                </w:p>
              </w:tc>
              <w:tc>
                <w:tcPr>
                  <w:tcW w:w="563" w:type="pct"/>
                  <w:vMerge w:val="continue"/>
                  <w:tcBorders>
                    <w:top w:val="single" w:color="auto" w:sz="12" w:space="0"/>
                    <w:tl2br w:val="nil"/>
                    <w:tr2bl w:val="nil"/>
                  </w:tcBorders>
                  <w:vAlign w:val="center"/>
                </w:tcPr>
                <w:p>
                  <w:pPr>
                    <w:spacing w:line="240" w:lineRule="auto"/>
                    <w:contextualSpacing/>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5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废包装容器</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HW49</w:t>
                  </w:r>
                </w:p>
              </w:tc>
              <w:tc>
                <w:tcPr>
                  <w:tcW w:w="601"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bCs/>
                      <w:sz w:val="21"/>
                      <w:szCs w:val="21"/>
                    </w:rPr>
                    <w:t>900-047-49</w:t>
                  </w:r>
                </w:p>
              </w:tc>
              <w:tc>
                <w:tcPr>
                  <w:tcW w:w="51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0.5</w:t>
                  </w:r>
                </w:p>
              </w:tc>
              <w:tc>
                <w:tcPr>
                  <w:tcW w:w="424"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eastAsia="宋体" w:cs="Times New Roman"/>
                      <w:sz w:val="21"/>
                      <w:szCs w:val="21"/>
                    </w:rPr>
                    <w:t>教学过程中</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固态</w:t>
                  </w:r>
                </w:p>
              </w:tc>
              <w:tc>
                <w:tcPr>
                  <w:tcW w:w="51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废酸、废碱、微生物</w:t>
                  </w:r>
                </w:p>
              </w:tc>
              <w:tc>
                <w:tcPr>
                  <w:tcW w:w="406"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废酸、废碱、微生物</w:t>
                  </w:r>
                </w:p>
              </w:tc>
              <w:tc>
                <w:tcPr>
                  <w:tcW w:w="36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0.5t/a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毒性、传染性</w:t>
                  </w:r>
                </w:p>
              </w:tc>
              <w:tc>
                <w:tcPr>
                  <w:tcW w:w="563" w:type="pct"/>
                  <w:vMerge w:val="continue"/>
                  <w:tcBorders>
                    <w:tl2br w:val="nil"/>
                    <w:tr2bl w:val="nil"/>
                  </w:tcBorders>
                  <w:vAlign w:val="center"/>
                </w:tcPr>
                <w:p>
                  <w:pPr>
                    <w:spacing w:line="240" w:lineRule="auto"/>
                    <w:contextualSpacing/>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4</w:t>
                  </w:r>
                </w:p>
              </w:tc>
              <w:tc>
                <w:tcPr>
                  <w:tcW w:w="25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化学清洗实验室清洗废液</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H</w:t>
                  </w:r>
                  <w:r>
                    <w:rPr>
                      <w:rFonts w:ascii="Times New Roman" w:hAnsi="Times New Roman" w:eastAsia="宋体" w:cs="Times New Roman"/>
                      <w:sz w:val="21"/>
                      <w:szCs w:val="21"/>
                    </w:rPr>
                    <w:t>W49</w:t>
                  </w:r>
                </w:p>
              </w:tc>
              <w:tc>
                <w:tcPr>
                  <w:tcW w:w="601"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bCs/>
                      <w:sz w:val="21"/>
                      <w:szCs w:val="21"/>
                    </w:rPr>
                    <w:t>900-047-49</w:t>
                  </w:r>
                </w:p>
              </w:tc>
              <w:tc>
                <w:tcPr>
                  <w:tcW w:w="51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80</w:t>
                  </w:r>
                </w:p>
              </w:tc>
              <w:tc>
                <w:tcPr>
                  <w:tcW w:w="424"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hint="eastAsia" w:ascii="Times New Roman" w:hAnsi="Times New Roman" w:cs="Times New Roman"/>
                      <w:sz w:val="21"/>
                      <w:szCs w:val="21"/>
                    </w:rPr>
                    <w:t>教学过程中</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液态</w:t>
                  </w:r>
                </w:p>
              </w:tc>
              <w:tc>
                <w:tcPr>
                  <w:tcW w:w="51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化学药剂</w:t>
                  </w:r>
                </w:p>
              </w:tc>
              <w:tc>
                <w:tcPr>
                  <w:tcW w:w="406"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化学药剂</w:t>
                  </w:r>
                </w:p>
              </w:tc>
              <w:tc>
                <w:tcPr>
                  <w:tcW w:w="36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8</w:t>
                  </w:r>
                  <w:r>
                    <w:rPr>
                      <w:rFonts w:ascii="Times New Roman" w:hAnsi="Times New Roman" w:eastAsia="宋体" w:cs="Times New Roman"/>
                      <w:sz w:val="21"/>
                      <w:szCs w:val="21"/>
                    </w:rPr>
                    <w:t>0t/a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毒性</w:t>
                  </w:r>
                </w:p>
              </w:tc>
              <w:tc>
                <w:tcPr>
                  <w:tcW w:w="563" w:type="pct"/>
                  <w:vMerge w:val="continue"/>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5</w:t>
                  </w:r>
                </w:p>
              </w:tc>
              <w:tc>
                <w:tcPr>
                  <w:tcW w:w="25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生物培养基等</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HW49</w:t>
                  </w:r>
                </w:p>
              </w:tc>
              <w:tc>
                <w:tcPr>
                  <w:tcW w:w="601"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bCs/>
                      <w:sz w:val="21"/>
                      <w:szCs w:val="21"/>
                    </w:rPr>
                    <w:t>900-047-49</w:t>
                  </w:r>
                </w:p>
              </w:tc>
              <w:tc>
                <w:tcPr>
                  <w:tcW w:w="512"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0.1</w:t>
                  </w:r>
                </w:p>
              </w:tc>
              <w:tc>
                <w:tcPr>
                  <w:tcW w:w="424"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eastAsia="宋体" w:cs="Times New Roman"/>
                      <w:sz w:val="21"/>
                      <w:szCs w:val="21"/>
                    </w:rPr>
                    <w:t>教学过程中</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固液混合</w:t>
                  </w:r>
                </w:p>
              </w:tc>
              <w:tc>
                <w:tcPr>
                  <w:tcW w:w="512" w:type="pct"/>
                  <w:tcBorders>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cs="Times New Roman"/>
                      <w:sz w:val="21"/>
                      <w:szCs w:val="21"/>
                    </w:rPr>
                    <w:t>微生物</w:t>
                  </w:r>
                </w:p>
              </w:tc>
              <w:tc>
                <w:tcPr>
                  <w:tcW w:w="406"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微生物</w:t>
                  </w:r>
                </w:p>
              </w:tc>
              <w:tc>
                <w:tcPr>
                  <w:tcW w:w="362"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0.1t/a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传染性</w:t>
                  </w:r>
                </w:p>
              </w:tc>
              <w:tc>
                <w:tcPr>
                  <w:tcW w:w="56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灭活后交由资质单位处理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6</w:t>
                  </w:r>
                </w:p>
              </w:tc>
              <w:tc>
                <w:tcPr>
                  <w:tcW w:w="25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危废污泥</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HW49</w:t>
                  </w:r>
                </w:p>
              </w:tc>
              <w:tc>
                <w:tcPr>
                  <w:tcW w:w="601" w:type="pct"/>
                  <w:tcBorders>
                    <w:tl2br w:val="nil"/>
                    <w:tr2bl w:val="nil"/>
                  </w:tcBorders>
                  <w:vAlign w:val="center"/>
                </w:tcPr>
                <w:p>
                  <w:pPr>
                    <w:spacing w:line="240" w:lineRule="auto"/>
                    <w:contextualSpacing/>
                    <w:jc w:val="center"/>
                    <w:rPr>
                      <w:rFonts w:ascii="Times New Roman" w:hAnsi="Times New Roman" w:cs="Times New Roman"/>
                      <w:bCs/>
                      <w:sz w:val="21"/>
                      <w:szCs w:val="21"/>
                    </w:rPr>
                  </w:pPr>
                  <w:r>
                    <w:rPr>
                      <w:rFonts w:ascii="Times New Roman" w:hAnsi="Times New Roman" w:cs="Times New Roman"/>
                      <w:bCs/>
                      <w:sz w:val="21"/>
                      <w:szCs w:val="21"/>
                    </w:rPr>
                    <w:t>900-047-49</w:t>
                  </w:r>
                </w:p>
              </w:tc>
              <w:tc>
                <w:tcPr>
                  <w:tcW w:w="512"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0.199</w:t>
                  </w:r>
                </w:p>
              </w:tc>
              <w:tc>
                <w:tcPr>
                  <w:tcW w:w="424" w:type="pct"/>
                  <w:tcBorders>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教学过程中</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固液混合</w:t>
                  </w:r>
                </w:p>
              </w:tc>
              <w:tc>
                <w:tcPr>
                  <w:tcW w:w="512"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有机溶剂、废催化剂等</w:t>
                  </w:r>
                </w:p>
              </w:tc>
              <w:tc>
                <w:tcPr>
                  <w:tcW w:w="406"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有机溶剂、废催化剂等</w:t>
                  </w:r>
                </w:p>
              </w:tc>
              <w:tc>
                <w:tcPr>
                  <w:tcW w:w="362"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0.199t/a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毒性</w:t>
                  </w:r>
                </w:p>
              </w:tc>
              <w:tc>
                <w:tcPr>
                  <w:tcW w:w="563"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容器收集后经危废暂存间暂存后交由资质单位处理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73"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hint="eastAsia" w:ascii="Times New Roman" w:hAnsi="Times New Roman" w:eastAsia="宋体" w:cs="Times New Roman"/>
                      <w:sz w:val="21"/>
                      <w:szCs w:val="21"/>
                    </w:rPr>
                    <w:t>6</w:t>
                  </w:r>
                </w:p>
              </w:tc>
              <w:tc>
                <w:tcPr>
                  <w:tcW w:w="256"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医疗废物</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HW01</w:t>
                  </w:r>
                </w:p>
              </w:tc>
              <w:tc>
                <w:tcPr>
                  <w:tcW w:w="601"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831-001-01、831-002-01、831-003-01、831-004-01、831-005-01</w:t>
                  </w:r>
                </w:p>
              </w:tc>
              <w:tc>
                <w:tcPr>
                  <w:tcW w:w="512"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0.5</w:t>
                  </w:r>
                </w:p>
              </w:tc>
              <w:tc>
                <w:tcPr>
                  <w:tcW w:w="424" w:type="pct"/>
                  <w:tcBorders>
                    <w:tl2br w:val="nil"/>
                    <w:tr2bl w:val="nil"/>
                  </w:tcBorders>
                  <w:vAlign w:val="center"/>
                </w:tcPr>
                <w:p>
                  <w:pPr>
                    <w:spacing w:line="240" w:lineRule="auto"/>
                    <w:contextualSpacing/>
                    <w:jc w:val="center"/>
                    <w:rPr>
                      <w:rFonts w:ascii="Times New Roman" w:hAnsi="Times New Roman" w:eastAsia="宋体" w:cs="Times New Roman"/>
                      <w:sz w:val="21"/>
                      <w:szCs w:val="21"/>
                    </w:rPr>
                  </w:pPr>
                  <w:r>
                    <w:rPr>
                      <w:rFonts w:ascii="Times New Roman" w:hAnsi="Times New Roman" w:eastAsia="宋体" w:cs="Times New Roman"/>
                      <w:sz w:val="21"/>
                      <w:szCs w:val="21"/>
                    </w:rPr>
                    <w:t>医疗室</w:t>
                  </w:r>
                </w:p>
              </w:tc>
              <w:tc>
                <w:tcPr>
                  <w:tcW w:w="341"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固态</w:t>
                  </w:r>
                </w:p>
              </w:tc>
              <w:tc>
                <w:tcPr>
                  <w:tcW w:w="512"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废医疗试剂用品等</w:t>
                  </w:r>
                </w:p>
              </w:tc>
              <w:tc>
                <w:tcPr>
                  <w:tcW w:w="406"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废医疗试剂用品等</w:t>
                  </w:r>
                </w:p>
              </w:tc>
              <w:tc>
                <w:tcPr>
                  <w:tcW w:w="362"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0.5t/a</w:t>
                  </w:r>
                </w:p>
              </w:tc>
              <w:tc>
                <w:tcPr>
                  <w:tcW w:w="426" w:type="pct"/>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传染性</w:t>
                  </w:r>
                </w:p>
              </w:tc>
              <w:tc>
                <w:tcPr>
                  <w:tcW w:w="563"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容器收集后经危废暂存间暂存后交由资质单位处理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54" w:type="pct"/>
                  <w:gridSpan w:val="4"/>
                  <w:tcBorders>
                    <w:tl2br w:val="nil"/>
                    <w:tr2bl w:val="nil"/>
                  </w:tcBorders>
                  <w:vAlign w:val="center"/>
                </w:tcPr>
                <w:p>
                  <w:pPr>
                    <w:pStyle w:val="34"/>
                    <w:spacing w:line="240" w:lineRule="auto"/>
                    <w:ind w:firstLine="0" w:firstLineChars="0"/>
                    <w:contextualSpacing/>
                    <w:rPr>
                      <w:rFonts w:ascii="Times New Roman" w:hAnsi="Times New Roman" w:cs="Times New Roman"/>
                      <w:sz w:val="21"/>
                      <w:szCs w:val="21"/>
                    </w:rPr>
                  </w:pPr>
                  <w:r>
                    <w:rPr>
                      <w:rFonts w:ascii="Times New Roman" w:hAnsi="Times New Roman" w:cs="Times New Roman"/>
                      <w:sz w:val="21"/>
                      <w:szCs w:val="21"/>
                    </w:rPr>
                    <w:t>合计</w:t>
                  </w:r>
                </w:p>
              </w:tc>
              <w:tc>
                <w:tcPr>
                  <w:tcW w:w="512"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eastAsia="宋体" w:cs="Times New Roman"/>
                      <w:sz w:val="21"/>
                      <w:szCs w:val="21"/>
                    </w:rPr>
                    <w:t>81.999</w:t>
                  </w:r>
                </w:p>
              </w:tc>
              <w:tc>
                <w:tcPr>
                  <w:tcW w:w="424" w:type="pct"/>
                  <w:tcBorders>
                    <w:tl2br w:val="nil"/>
                    <w:tr2bl w:val="nil"/>
                  </w:tcBorders>
                  <w:vAlign w:val="center"/>
                </w:tcPr>
                <w:p>
                  <w:pPr>
                    <w:pStyle w:val="34"/>
                    <w:spacing w:line="240" w:lineRule="auto"/>
                    <w:ind w:firstLine="0" w:firstLineChars="0"/>
                    <w:contextualSpacing/>
                    <w:rPr>
                      <w:rFonts w:ascii="Times New Roman" w:hAnsi="Times New Roman" w:eastAsia="宋体" w:cs="Times New Roman"/>
                      <w:sz w:val="21"/>
                      <w:szCs w:val="21"/>
                    </w:rPr>
                  </w:pPr>
                  <w:r>
                    <w:rPr>
                      <w:rFonts w:ascii="Times New Roman" w:hAnsi="Times New Roman" w:cs="Times New Roman"/>
                      <w:sz w:val="21"/>
                      <w:szCs w:val="21"/>
                    </w:rPr>
                    <w:t>/</w:t>
                  </w:r>
                </w:p>
              </w:tc>
              <w:tc>
                <w:tcPr>
                  <w:tcW w:w="341"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c>
                <w:tcPr>
                  <w:tcW w:w="512"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c>
                <w:tcPr>
                  <w:tcW w:w="406"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c>
                <w:tcPr>
                  <w:tcW w:w="362"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c>
                <w:tcPr>
                  <w:tcW w:w="426"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c>
                <w:tcPr>
                  <w:tcW w:w="563" w:type="pct"/>
                  <w:tcBorders>
                    <w:tl2br w:val="nil"/>
                    <w:tr2bl w:val="nil"/>
                  </w:tcBorders>
                  <w:vAlign w:val="center"/>
                </w:tcPr>
                <w:p>
                  <w:pPr>
                    <w:spacing w:line="240" w:lineRule="auto"/>
                    <w:contextualSpacing/>
                    <w:jc w:val="center"/>
                    <w:rPr>
                      <w:rFonts w:ascii="Times New Roman" w:hAnsi="Times New Roman" w:cs="Times New Roman"/>
                      <w:sz w:val="21"/>
                      <w:szCs w:val="21"/>
                    </w:rPr>
                  </w:pPr>
                  <w:r>
                    <w:rPr>
                      <w:rFonts w:ascii="Times New Roman" w:hAnsi="Times New Roman" w:cs="Times New Roman"/>
                      <w:sz w:val="21"/>
                      <w:szCs w:val="21"/>
                    </w:rPr>
                    <w:t>/</w:t>
                  </w:r>
                </w:p>
              </w:tc>
            </w:tr>
          </w:tbl>
          <w:p>
            <w:pPr>
              <w:pStyle w:val="32"/>
              <w:adjustRightInd/>
              <w:snapToGrid/>
              <w:ind w:firstLine="0" w:firstLineChars="0"/>
              <w:rPr>
                <w:rFonts w:ascii="Times New Roman" w:hAnsi="Times New Roman" w:eastAsia="宋体" w:cs="Times New Roman"/>
                <w:kern w:val="24"/>
              </w:rPr>
            </w:pPr>
          </w:p>
        </w:tc>
      </w:tr>
    </w:tbl>
    <w:p>
      <w:pPr>
        <w:pStyle w:val="4"/>
      </w:pPr>
    </w:p>
    <w:p/>
    <w:p>
      <w:pPr>
        <w:pStyle w:val="2"/>
      </w:pPr>
    </w:p>
    <w:p/>
    <w:p/>
    <w:p/>
    <w:p/>
    <w:p/>
    <w:p/>
    <w:p>
      <w:pPr>
        <w:pStyle w:val="2"/>
      </w:pPr>
    </w:p>
    <w:p>
      <w:pPr>
        <w:pStyle w:val="4"/>
      </w:pPr>
      <w:bookmarkStart w:id="62" w:name="_Toc34059534"/>
      <w:r>
        <w:rPr>
          <w:rFonts w:hint="eastAsia"/>
        </w:rPr>
        <w:t>六、项目主要污染物产生及预计排放情况</w:t>
      </w:r>
      <w:bookmarkEnd w:id="62"/>
    </w:p>
    <w:tbl>
      <w:tblPr>
        <w:tblStyle w:val="23"/>
        <w:tblW w:w="92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62"/>
        <w:gridCol w:w="400"/>
        <w:gridCol w:w="462"/>
        <w:gridCol w:w="1218"/>
        <w:gridCol w:w="1276"/>
        <w:gridCol w:w="2126"/>
        <w:gridCol w:w="28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tcBorders>
              <w:tl2br w:val="single" w:color="auto" w:sz="4" w:space="0"/>
            </w:tcBorders>
            <w:vAlign w:val="center"/>
          </w:tcPr>
          <w:p>
            <w:pPr>
              <w:spacing w:line="288" w:lineRule="auto"/>
              <w:ind w:firstLine="211" w:firstLineChars="100"/>
              <w:jc w:val="left"/>
              <w:rPr>
                <w:rFonts w:ascii="Times New Roman" w:hAnsi="Times New Roman" w:cs="Times New Roman"/>
                <w:b/>
                <w:bCs/>
                <w:sz w:val="21"/>
                <w:szCs w:val="21"/>
              </w:rPr>
            </w:pPr>
            <w:r>
              <w:rPr>
                <w:rFonts w:ascii="Times New Roman" w:hAnsi="Times New Roman" w:cs="Times New Roman"/>
                <w:b/>
                <w:bCs/>
                <w:sz w:val="21"/>
                <w:szCs w:val="21"/>
              </w:rPr>
              <w:t>内容</w:t>
            </w:r>
          </w:p>
          <w:p>
            <w:pPr>
              <w:spacing w:line="288" w:lineRule="auto"/>
              <w:jc w:val="left"/>
              <w:rPr>
                <w:rFonts w:ascii="Times New Roman" w:hAnsi="Times New Roman" w:cs="Times New Roman"/>
                <w:b/>
                <w:bCs/>
                <w:sz w:val="21"/>
                <w:szCs w:val="21"/>
              </w:rPr>
            </w:pPr>
            <w:r>
              <w:rPr>
                <w:rFonts w:ascii="Times New Roman" w:hAnsi="Times New Roman" w:cs="Times New Roman"/>
                <w:b/>
                <w:bCs/>
                <w:sz w:val="21"/>
                <w:szCs w:val="21"/>
              </w:rPr>
              <w:t>类型</w:t>
            </w:r>
          </w:p>
        </w:tc>
        <w:tc>
          <w:tcPr>
            <w:tcW w:w="2080" w:type="dxa"/>
            <w:gridSpan w:val="3"/>
            <w:tcBorders>
              <w:tl2br w:val="nil"/>
              <w:tr2bl w:val="nil"/>
            </w:tcBorders>
            <w:vAlign w:val="center"/>
          </w:tcPr>
          <w:p>
            <w:pPr>
              <w:spacing w:line="288" w:lineRule="auto"/>
              <w:jc w:val="center"/>
              <w:rPr>
                <w:rFonts w:ascii="Times New Roman" w:hAnsi="Times New Roman" w:cs="Times New Roman"/>
                <w:b/>
                <w:bCs/>
                <w:sz w:val="21"/>
                <w:szCs w:val="21"/>
              </w:rPr>
            </w:pPr>
            <w:r>
              <w:rPr>
                <w:rFonts w:ascii="Times New Roman" w:hAnsi="Times New Roman" w:cs="Times New Roman"/>
                <w:b/>
                <w:bCs/>
                <w:sz w:val="21"/>
                <w:szCs w:val="21"/>
              </w:rPr>
              <w:t>排放源（编号）</w:t>
            </w:r>
          </w:p>
        </w:tc>
        <w:tc>
          <w:tcPr>
            <w:tcW w:w="1276" w:type="dxa"/>
            <w:tcBorders>
              <w:tl2br w:val="nil"/>
              <w:tr2bl w:val="nil"/>
            </w:tcBorders>
            <w:vAlign w:val="center"/>
          </w:tcPr>
          <w:p>
            <w:pPr>
              <w:spacing w:line="288" w:lineRule="auto"/>
              <w:jc w:val="center"/>
              <w:rPr>
                <w:rFonts w:ascii="Times New Roman" w:hAnsi="Times New Roman" w:cs="Times New Roman"/>
                <w:b/>
                <w:bCs/>
                <w:sz w:val="21"/>
                <w:szCs w:val="21"/>
              </w:rPr>
            </w:pPr>
            <w:r>
              <w:rPr>
                <w:rFonts w:ascii="Times New Roman" w:hAnsi="Times New Roman" w:cs="Times New Roman"/>
                <w:b/>
                <w:bCs/>
                <w:sz w:val="21"/>
                <w:szCs w:val="21"/>
              </w:rPr>
              <w:t>污染物名称</w:t>
            </w:r>
          </w:p>
        </w:tc>
        <w:tc>
          <w:tcPr>
            <w:tcW w:w="2126" w:type="dxa"/>
            <w:tcBorders>
              <w:tl2br w:val="nil"/>
              <w:tr2bl w:val="nil"/>
            </w:tcBorders>
            <w:vAlign w:val="center"/>
          </w:tcPr>
          <w:p>
            <w:pPr>
              <w:spacing w:line="288" w:lineRule="auto"/>
              <w:jc w:val="center"/>
              <w:rPr>
                <w:rFonts w:ascii="Times New Roman" w:hAnsi="Times New Roman" w:cs="Times New Roman"/>
                <w:b/>
                <w:bCs/>
                <w:sz w:val="21"/>
                <w:szCs w:val="21"/>
              </w:rPr>
            </w:pPr>
            <w:r>
              <w:rPr>
                <w:rFonts w:ascii="Times New Roman" w:hAnsi="Times New Roman" w:cs="Times New Roman"/>
                <w:b/>
                <w:bCs/>
                <w:sz w:val="21"/>
                <w:szCs w:val="21"/>
              </w:rPr>
              <w:t>处理前产生浓度及产生量（单位）</w:t>
            </w:r>
          </w:p>
        </w:tc>
        <w:tc>
          <w:tcPr>
            <w:tcW w:w="2842" w:type="dxa"/>
            <w:tcBorders>
              <w:tl2br w:val="nil"/>
              <w:tr2bl w:val="nil"/>
            </w:tcBorders>
            <w:vAlign w:val="center"/>
          </w:tcPr>
          <w:p>
            <w:pPr>
              <w:spacing w:line="288" w:lineRule="auto"/>
              <w:jc w:val="center"/>
              <w:rPr>
                <w:rFonts w:ascii="Times New Roman" w:hAnsi="Times New Roman" w:cs="Times New Roman"/>
                <w:b/>
                <w:bCs/>
                <w:sz w:val="21"/>
                <w:szCs w:val="21"/>
              </w:rPr>
            </w:pPr>
            <w:r>
              <w:rPr>
                <w:rFonts w:ascii="Times New Roman" w:hAnsi="Times New Roman" w:cs="Times New Roman"/>
                <w:b/>
                <w:bCs/>
                <w:sz w:val="21"/>
                <w:szCs w:val="21"/>
              </w:rPr>
              <w:t>排放浓度及排放量（单位）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大气</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污染物</w:t>
            </w: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施工扬尘</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扬尘</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w:t>
            </w:r>
            <w:r>
              <w:rPr>
                <w:rFonts w:ascii="Times New Roman" w:hAnsi="Times New Roman" w:cs="Times New Roman"/>
                <w:sz w:val="21"/>
                <w:szCs w:val="21"/>
              </w:rPr>
              <w:t>.832t/a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w:t>
            </w:r>
            <w:r>
              <w:rPr>
                <w:rFonts w:ascii="Times New Roman" w:hAnsi="Times New Roman" w:cs="Times New Roman"/>
                <w:sz w:val="21"/>
                <w:szCs w:val="21"/>
              </w:rPr>
              <w:t>.25t/a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装修废气</w:t>
            </w: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二甲苯、甲苯、VOCs等</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汽车尾气</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C</w:t>
            </w:r>
            <w:r>
              <w:rPr>
                <w:rFonts w:ascii="Times New Roman" w:hAnsi="Times New Roman" w:cs="Times New Roman"/>
                <w:sz w:val="21"/>
                <w:szCs w:val="21"/>
              </w:rPr>
              <w:t>O</w:t>
            </w:r>
            <w:r>
              <w:rPr>
                <w:rFonts w:hint="eastAsia" w:ascii="Times New Roman" w:hAnsi="Times New Roman" w:cs="Times New Roman"/>
                <w:sz w:val="21"/>
                <w:szCs w:val="21"/>
              </w:rPr>
              <w:t>、T</w:t>
            </w:r>
            <w:r>
              <w:rPr>
                <w:rFonts w:ascii="Times New Roman" w:hAnsi="Times New Roman" w:cs="Times New Roman"/>
                <w:sz w:val="21"/>
                <w:szCs w:val="21"/>
              </w:rPr>
              <w:t>HC</w:t>
            </w:r>
            <w:r>
              <w:rPr>
                <w:rFonts w:hint="eastAsia" w:ascii="Times New Roman" w:hAnsi="Times New Roman" w:cs="Times New Roman"/>
                <w:sz w:val="21"/>
                <w:szCs w:val="21"/>
              </w:rPr>
              <w:t>、N</w:t>
            </w:r>
            <w:r>
              <w:rPr>
                <w:rFonts w:ascii="Times New Roman" w:hAnsi="Times New Roman" w:cs="Times New Roman"/>
                <w:sz w:val="21"/>
                <w:szCs w:val="21"/>
              </w:rPr>
              <w:t>Ox</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4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pacing w:val="6"/>
                <w:sz w:val="21"/>
                <w:szCs w:val="21"/>
              </w:rPr>
              <w:t>食堂</w:t>
            </w:r>
          </w:p>
        </w:tc>
        <w:tc>
          <w:tcPr>
            <w:tcW w:w="1218"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小学食堂油烟</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油烟</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eastAsia="宋体" w:cs="Times New Roman"/>
                <w:sz w:val="21"/>
                <w:szCs w:val="21"/>
              </w:rPr>
              <w:t>243</w:t>
            </w:r>
            <w:r>
              <w:rPr>
                <w:rFonts w:ascii="Times New Roman" w:hAnsi="Times New Roman" w:cs="Times New Roman"/>
                <w:sz w:val="21"/>
                <w:szCs w:val="21"/>
              </w:rPr>
              <w:t>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1.519mg/m</w:t>
            </w:r>
            <w:r>
              <w:rPr>
                <w:rFonts w:ascii="Times New Roman" w:hAnsi="Times New Roman" w:cs="Times New Roman"/>
                <w:sz w:val="21"/>
                <w:szCs w:val="21"/>
                <w:vertAlign w:val="superscript"/>
              </w:rPr>
              <w:t>3</w:t>
            </w:r>
            <w:r>
              <w:rPr>
                <w:rFonts w:ascii="Times New Roman" w:hAnsi="Times New Roman" w:eastAsia="宋体" w:cs="Times New Roman"/>
                <w:sz w:val="21"/>
                <w:szCs w:val="21"/>
              </w:rPr>
              <w:t>，36.45</w:t>
            </w:r>
            <w:r>
              <w:rPr>
                <w:rFonts w:ascii="Times New Roman" w:hAnsi="Times New Roman" w:cs="Times New Roman"/>
                <w:sz w:val="21"/>
                <w:szCs w:val="21"/>
              </w:rPr>
              <w:t>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初中食堂及教职工餐厅</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油烟</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eastAsia="宋体" w:cs="Times New Roman"/>
                <w:sz w:val="21"/>
                <w:szCs w:val="21"/>
              </w:rPr>
              <w:t>160.5</w:t>
            </w:r>
            <w:r>
              <w:rPr>
                <w:rFonts w:ascii="Times New Roman" w:hAnsi="Times New Roman" w:cs="Times New Roman"/>
                <w:sz w:val="21"/>
                <w:szCs w:val="21"/>
              </w:rPr>
              <w:t>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1.003mg/m</w:t>
            </w:r>
            <w:r>
              <w:rPr>
                <w:rFonts w:ascii="Times New Roman" w:hAnsi="Times New Roman" w:cs="Times New Roman"/>
                <w:sz w:val="21"/>
                <w:szCs w:val="21"/>
                <w:vertAlign w:val="superscript"/>
              </w:rPr>
              <w:t>3</w:t>
            </w:r>
            <w:r>
              <w:rPr>
                <w:rFonts w:ascii="Times New Roman" w:hAnsi="Times New Roman" w:eastAsia="宋体" w:cs="Times New Roman"/>
                <w:sz w:val="21"/>
                <w:szCs w:val="21"/>
              </w:rPr>
              <w:t>，24.075</w:t>
            </w:r>
            <w:r>
              <w:rPr>
                <w:rFonts w:ascii="Times New Roman" w:hAnsi="Times New Roman" w:cs="Times New Roman"/>
                <w:sz w:val="21"/>
                <w:szCs w:val="21"/>
              </w:rPr>
              <w:t>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实验室废气</w:t>
            </w: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挥发性气体</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少量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地下车库废气</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2.41kg/a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2.41kg/a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NO</w:t>
            </w:r>
            <w:r>
              <w:rPr>
                <w:rFonts w:ascii="Times New Roman" w:hAnsi="Times New Roman" w:cs="Times New Roman"/>
                <w:sz w:val="21"/>
                <w:szCs w:val="21"/>
                <w:vertAlign w:val="subscript"/>
              </w:rPr>
              <w:t>2</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0.071kg/a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0.071kg/a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THC</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1.398kg/a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1.398kg/a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污水处理站臭气</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N</w:t>
            </w:r>
            <w:r>
              <w:rPr>
                <w:rFonts w:ascii="Times New Roman" w:hAnsi="Times New Roman" w:cs="Times New Roman"/>
                <w:sz w:val="21"/>
                <w:szCs w:val="21"/>
              </w:rPr>
              <w:t>H</w:t>
            </w:r>
            <w:r>
              <w:rPr>
                <w:rFonts w:ascii="Times New Roman" w:hAnsi="Times New Roman" w:cs="Times New Roman"/>
                <w:sz w:val="21"/>
                <w:szCs w:val="21"/>
                <w:vertAlign w:val="subscript"/>
              </w:rPr>
              <w:t>3</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1kg/a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w:t>
            </w:r>
            <w:r>
              <w:rPr>
                <w:rFonts w:ascii="Times New Roman" w:hAnsi="Times New Roman" w:cs="Times New Roman"/>
                <w:sz w:val="21"/>
                <w:szCs w:val="21"/>
              </w:rPr>
              <w:t>.00438kg/h</w:t>
            </w:r>
            <w:r>
              <w:rPr>
                <w:rFonts w:hint="eastAsia" w:ascii="Times New Roman" w:hAnsi="Times New Roman" w:cs="Times New Roman"/>
                <w:sz w:val="21"/>
                <w:szCs w:val="21"/>
              </w:rPr>
              <w:t>，2</w:t>
            </w:r>
            <w:r>
              <w:rPr>
                <w:rFonts w:ascii="Times New Roman" w:hAnsi="Times New Roman" w:cs="Times New Roman"/>
                <w:sz w:val="21"/>
                <w:szCs w:val="21"/>
              </w:rPr>
              <w:t>1kg/a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H</w:t>
            </w:r>
            <w:r>
              <w:rPr>
                <w:rFonts w:ascii="Times New Roman" w:hAnsi="Times New Roman" w:cs="Times New Roman"/>
                <w:sz w:val="21"/>
                <w:szCs w:val="21"/>
                <w:vertAlign w:val="subscript"/>
              </w:rPr>
              <w:t>2</w:t>
            </w:r>
            <w:r>
              <w:rPr>
                <w:rFonts w:ascii="Times New Roman" w:hAnsi="Times New Roman" w:cs="Times New Roman"/>
                <w:sz w:val="21"/>
                <w:szCs w:val="21"/>
              </w:rPr>
              <w:t>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8</w:t>
            </w:r>
            <w:r>
              <w:rPr>
                <w:rFonts w:ascii="Times New Roman" w:hAnsi="Times New Roman" w:cs="Times New Roman"/>
                <w:sz w:val="21"/>
                <w:szCs w:val="21"/>
              </w:rPr>
              <w:t>kg/a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w:t>
            </w:r>
            <w:r>
              <w:rPr>
                <w:rFonts w:ascii="Times New Roman" w:hAnsi="Times New Roman" w:cs="Times New Roman"/>
                <w:sz w:val="21"/>
                <w:szCs w:val="21"/>
              </w:rPr>
              <w:t>.00017kg/h</w:t>
            </w:r>
            <w:r>
              <w:rPr>
                <w:rFonts w:hint="eastAsia" w:ascii="Times New Roman" w:hAnsi="Times New Roman" w:cs="Times New Roman"/>
                <w:sz w:val="21"/>
                <w:szCs w:val="21"/>
              </w:rPr>
              <w:t>，8</w:t>
            </w:r>
            <w:r>
              <w:rPr>
                <w:rFonts w:ascii="Times New Roman" w:hAnsi="Times New Roman" w:cs="Times New Roman"/>
                <w:sz w:val="21"/>
                <w:szCs w:val="21"/>
              </w:rPr>
              <w:t>kg/a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水污染物</w:t>
            </w: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施工废水</w:t>
            </w: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废水量</w:t>
            </w:r>
          </w:p>
        </w:tc>
        <w:tc>
          <w:tcPr>
            <w:tcW w:w="212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1000t</w:t>
            </w:r>
          </w:p>
        </w:tc>
        <w:tc>
          <w:tcPr>
            <w:tcW w:w="2842"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生活污水</w:t>
            </w: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废水量</w:t>
            </w:r>
          </w:p>
        </w:tc>
        <w:tc>
          <w:tcPr>
            <w:tcW w:w="212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2400t</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2400t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1680" w:type="dxa"/>
            <w:gridSpan w:val="2"/>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项目废水</w:t>
            </w:r>
            <w:r>
              <w:rPr>
                <w:rFonts w:hint="eastAsia" w:ascii="Times New Roman" w:hAnsi="Times New Roman" w:cs="Times New Roman"/>
                <w:sz w:val="21"/>
                <w:szCs w:val="21"/>
              </w:rPr>
              <w:t>量</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废水量</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45504t/a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45504t/a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生活污水</w:t>
            </w:r>
          </w:p>
          <w:p>
            <w:pPr>
              <w:pStyle w:val="2"/>
              <w:spacing w:after="0" w:line="240" w:lineRule="auto"/>
              <w:rPr>
                <w:rFonts w:ascii="Times New Roman" w:hAnsi="Times New Roman" w:cs="Times New Roman"/>
                <w:sz w:val="21"/>
                <w:szCs w:val="21"/>
              </w:rPr>
            </w:pPr>
            <w:r>
              <w:rPr>
                <w:rFonts w:hint="eastAsia" w:ascii="Times New Roman" w:hAnsi="Times New Roman" w:cs="Times New Roman"/>
                <w:sz w:val="21"/>
                <w:szCs w:val="21"/>
              </w:rPr>
              <w:t>（产生量：3</w:t>
            </w:r>
            <w:r>
              <w:rPr>
                <w:rFonts w:ascii="Times New Roman" w:hAnsi="Times New Roman" w:cs="Times New Roman"/>
                <w:sz w:val="21"/>
                <w:szCs w:val="21"/>
              </w:rPr>
              <w:t>5370m</w:t>
            </w:r>
            <w:r>
              <w:rPr>
                <w:rFonts w:ascii="Times New Roman" w:hAnsi="Times New Roman" w:cs="Times New Roman"/>
                <w:sz w:val="21"/>
                <w:szCs w:val="21"/>
                <w:vertAlign w:val="superscript"/>
              </w:rPr>
              <w:t>3</w:t>
            </w:r>
            <w:r>
              <w:rPr>
                <w:rFonts w:ascii="Times New Roman" w:hAnsi="Times New Roman" w:cs="Times New Roman"/>
                <w:sz w:val="21"/>
                <w:szCs w:val="21"/>
              </w:rPr>
              <w:t>/a</w:t>
            </w:r>
          </w:p>
          <w:p>
            <w:pPr>
              <w:pStyle w:val="2"/>
              <w:spacing w:after="0" w:line="240" w:lineRule="auto"/>
              <w:rPr>
                <w:rFonts w:ascii="Times New Roman" w:hAnsi="Times New Roman" w:cs="Times New Roman"/>
                <w:sz w:val="21"/>
                <w:szCs w:val="21"/>
              </w:rPr>
            </w:pPr>
            <w:r>
              <w:rPr>
                <w:rFonts w:hint="eastAsia" w:ascii="Times New Roman" w:hAnsi="Times New Roman" w:cs="Times New Roman"/>
                <w:sz w:val="21"/>
                <w:szCs w:val="21"/>
              </w:rPr>
              <w:t>排放量：2</w:t>
            </w:r>
            <w:r>
              <w:rPr>
                <w:rFonts w:ascii="Times New Roman" w:hAnsi="Times New Roman" w:cs="Times New Roman"/>
                <w:sz w:val="21"/>
                <w:szCs w:val="21"/>
              </w:rPr>
              <w:t>8584m</w:t>
            </w:r>
            <w:r>
              <w:rPr>
                <w:rFonts w:ascii="Times New Roman" w:hAnsi="Times New Roman" w:cs="Times New Roman"/>
                <w:sz w:val="21"/>
                <w:szCs w:val="21"/>
                <w:vertAlign w:val="superscript"/>
              </w:rPr>
              <w:t>3</w:t>
            </w:r>
            <w:r>
              <w:rPr>
                <w:rFonts w:ascii="Times New Roman" w:hAnsi="Times New Roman" w:cs="Times New Roman"/>
                <w:sz w:val="21"/>
                <w:szCs w:val="21"/>
              </w:rPr>
              <w:t>/a</w:t>
            </w:r>
            <w:r>
              <w:rPr>
                <w:rFonts w:hint="eastAsia" w:ascii="Times New Roman" w:hAnsi="Times New Roman" w:cs="Times New Roman"/>
                <w:sz w:val="21"/>
                <w:szCs w:val="21"/>
              </w:rPr>
              <w:t>）</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12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300mg/L，10.719t/a</w:t>
            </w:r>
          </w:p>
        </w:tc>
        <w:tc>
          <w:tcPr>
            <w:tcW w:w="2842" w:type="dxa"/>
            <w:vMerge w:val="restart"/>
            <w:tcBorders>
              <w:tl2br w:val="nil"/>
              <w:tr2bl w:val="nil"/>
            </w:tcBorders>
            <w:vAlign w:val="center"/>
          </w:tcPr>
          <w:p>
            <w:pPr>
              <w:spacing w:line="240" w:lineRule="auto"/>
              <w:jc w:val="left"/>
              <w:rPr>
                <w:rFonts w:ascii="Times New Roman" w:hAnsi="Times New Roman" w:cs="Times New Roman"/>
                <w:sz w:val="21"/>
                <w:szCs w:val="21"/>
              </w:rPr>
            </w:pPr>
          </w:p>
          <w:p>
            <w:pPr>
              <w:spacing w:line="240" w:lineRule="auto"/>
              <w:jc w:val="left"/>
              <w:rPr>
                <w:rFonts w:ascii="Times New Roman" w:hAnsi="Times New Roman" w:cs="Times New Roman"/>
                <w:sz w:val="21"/>
                <w:szCs w:val="21"/>
              </w:rPr>
            </w:pPr>
          </w:p>
          <w:p>
            <w:pPr>
              <w:spacing w:line="240" w:lineRule="auto"/>
              <w:jc w:val="left"/>
              <w:rPr>
                <w:rFonts w:ascii="Times New Roman" w:hAnsi="Times New Roman" w:cs="Times New Roman"/>
                <w:sz w:val="21"/>
                <w:szCs w:val="21"/>
              </w:rPr>
            </w:pPr>
            <w:r>
              <w:rPr>
                <w:rFonts w:hint="eastAsia" w:ascii="Times New Roman" w:hAnsi="Times New Roman" w:cs="Times New Roman"/>
                <w:sz w:val="21"/>
                <w:szCs w:val="21"/>
              </w:rPr>
              <w:t>综合废水排放情况：</w:t>
            </w:r>
          </w:p>
          <w:p>
            <w:pPr>
              <w:spacing w:line="240" w:lineRule="auto"/>
              <w:jc w:val="left"/>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w:instrText>
            </w:r>
            <w:r>
              <w:rPr>
                <w:rFonts w:hint="eastAsia" w:ascii="Times New Roman" w:hAnsi="Times New Roman" w:cs="Times New Roman"/>
                <w:sz w:val="21"/>
                <w:szCs w:val="21"/>
              </w:rPr>
              <w:instrText xml:space="preserve">= 1 \* GB3</w:instrText>
            </w:r>
            <w:r>
              <w:rPr>
                <w:rFonts w:ascii="Times New Roman" w:hAnsi="Times New Roman" w:cs="Times New Roman"/>
                <w:sz w:val="21"/>
                <w:szCs w:val="21"/>
              </w:rPr>
              <w:instrText xml:space="preserve"> </w:instrText>
            </w:r>
            <w:r>
              <w:rPr>
                <w:rFonts w:ascii="Times New Roman" w:hAnsi="Times New Roman" w:cs="Times New Roman"/>
                <w:sz w:val="21"/>
                <w:szCs w:val="21"/>
              </w:rPr>
              <w:fldChar w:fldCharType="separate"/>
            </w:r>
            <w:r>
              <w:rPr>
                <w:rFonts w:hint="eastAsia" w:ascii="Times New Roman" w:hAnsi="Times New Roman" w:cs="Times New Roman"/>
                <w:sz w:val="21"/>
                <w:szCs w:val="21"/>
              </w:rPr>
              <w:t>①</w:t>
            </w:r>
            <w:r>
              <w:rPr>
                <w:rFonts w:ascii="Times New Roman" w:hAnsi="Times New Roman" w:cs="Times New Roman"/>
                <w:sz w:val="21"/>
                <w:szCs w:val="21"/>
              </w:rPr>
              <w:fldChar w:fldCharType="end"/>
            </w:r>
            <w:r>
              <w:rPr>
                <w:rFonts w:hint="eastAsia" w:ascii="Times New Roman" w:hAnsi="Times New Roman" w:cs="Times New Roman"/>
                <w:sz w:val="21"/>
                <w:szCs w:val="21"/>
              </w:rPr>
              <w:t>接通污水处理厂之前：</w:t>
            </w:r>
          </w:p>
          <w:p>
            <w:pPr>
              <w:spacing w:line="240" w:lineRule="auto"/>
              <w:jc w:val="left"/>
              <w:rPr>
                <w:rFonts w:ascii="Times New Roman" w:hAnsi="Times New Roman" w:cs="Times New Roman"/>
                <w:sz w:val="21"/>
                <w:szCs w:val="21"/>
              </w:rPr>
            </w:pPr>
            <w:r>
              <w:rPr>
                <w:rFonts w:hint="eastAsia" w:ascii="Times New Roman" w:hAnsi="Times New Roman" w:cs="Times New Roman"/>
                <w:sz w:val="21"/>
                <w:szCs w:val="21"/>
              </w:rPr>
              <w:t>COD：4</w:t>
            </w:r>
            <w:r>
              <w:rPr>
                <w:rFonts w:ascii="Times New Roman" w:hAnsi="Times New Roman" w:cs="Times New Roman"/>
                <w:sz w:val="21"/>
                <w:szCs w:val="21"/>
              </w:rPr>
              <w:t>6.98</w:t>
            </w:r>
            <w:r>
              <w:rPr>
                <w:rFonts w:hint="eastAsia" w:ascii="Times New Roman" w:hAnsi="Times New Roman" w:cs="Times New Roman"/>
                <w:sz w:val="21"/>
                <w:szCs w:val="21"/>
              </w:rPr>
              <w:t>mg/L，</w:t>
            </w:r>
            <w:r>
              <w:rPr>
                <w:rFonts w:ascii="Times New Roman" w:hAnsi="Times New Roman" w:cs="Times New Roman"/>
                <w:sz w:val="21"/>
                <w:szCs w:val="21"/>
              </w:rPr>
              <w:t>2.13768</w:t>
            </w:r>
            <w:r>
              <w:rPr>
                <w:rFonts w:hint="eastAsia" w:ascii="Times New Roman" w:hAnsi="Times New Roman" w:cs="Times New Roman"/>
                <w:sz w:val="21"/>
                <w:szCs w:val="21"/>
              </w:rPr>
              <w:t>t/a</w:t>
            </w:r>
            <w:r>
              <w:rPr>
                <w:rFonts w:ascii="Times New Roman" w:hAnsi="Times New Roman" w:cs="Times New Roman"/>
                <w:sz w:val="21"/>
                <w:szCs w:val="21"/>
              </w:rPr>
              <w:t xml:space="preserve"> </w:t>
            </w:r>
          </w:p>
          <w:p>
            <w:pPr>
              <w:spacing w:line="240" w:lineRule="auto"/>
              <w:jc w:val="left"/>
              <w:rPr>
                <w:rFonts w:ascii="Times New Roman" w:hAnsi="Times New Roman" w:cs="Times New Roman"/>
                <w:sz w:val="21"/>
                <w:szCs w:val="21"/>
              </w:rPr>
            </w:pPr>
            <w:r>
              <w:rPr>
                <w:rFonts w:hint="eastAsia" w:ascii="Times New Roman" w:hAnsi="Times New Roman" w:cs="Times New Roman"/>
                <w:sz w:val="21"/>
                <w:szCs w:val="21"/>
              </w:rPr>
              <w:t>BOD</w:t>
            </w:r>
            <w:r>
              <w:rPr>
                <w:rFonts w:hint="eastAsia" w:ascii="Times New Roman" w:hAnsi="Times New Roman" w:cs="Times New Roman"/>
                <w:sz w:val="21"/>
                <w:szCs w:val="21"/>
                <w:vertAlign w:val="subscript"/>
              </w:rPr>
              <w:t>5</w:t>
            </w:r>
            <w:r>
              <w:rPr>
                <w:rFonts w:hint="eastAsia" w:ascii="Times New Roman" w:hAnsi="Times New Roman" w:cs="Times New Roman"/>
                <w:sz w:val="21"/>
                <w:szCs w:val="21"/>
              </w:rPr>
              <w:t>：</w:t>
            </w:r>
            <w:r>
              <w:rPr>
                <w:rFonts w:ascii="Times New Roman" w:hAnsi="Times New Roman" w:cs="Times New Roman"/>
                <w:sz w:val="21"/>
                <w:szCs w:val="21"/>
              </w:rPr>
              <w:t>8.93</w:t>
            </w:r>
            <w:r>
              <w:rPr>
                <w:rFonts w:hint="eastAsia" w:ascii="Times New Roman" w:hAnsi="Times New Roman" w:cs="Times New Roman"/>
                <w:sz w:val="21"/>
                <w:szCs w:val="21"/>
              </w:rPr>
              <w:t>mg/L，</w:t>
            </w:r>
            <w:r>
              <w:rPr>
                <w:rFonts w:ascii="Times New Roman" w:hAnsi="Times New Roman" w:cs="Times New Roman"/>
                <w:sz w:val="21"/>
                <w:szCs w:val="21"/>
              </w:rPr>
              <w:t>0.4092</w:t>
            </w:r>
            <w:r>
              <w:rPr>
                <w:rFonts w:hint="eastAsia" w:ascii="Times New Roman" w:hAnsi="Times New Roman" w:cs="Times New Roman"/>
                <w:sz w:val="21"/>
                <w:szCs w:val="21"/>
              </w:rPr>
              <w:t>t/a</w:t>
            </w:r>
            <w:r>
              <w:rPr>
                <w:rFonts w:ascii="Times New Roman" w:hAnsi="Times New Roman" w:cs="Times New Roman"/>
                <w:sz w:val="21"/>
                <w:szCs w:val="21"/>
              </w:rPr>
              <w:t xml:space="preserve">  </w:t>
            </w:r>
            <w:r>
              <w:rPr>
                <w:rFonts w:hint="eastAsia" w:ascii="Times New Roman" w:hAnsi="Times New Roman" w:cs="Times New Roman"/>
                <w:sz w:val="21"/>
                <w:szCs w:val="21"/>
              </w:rPr>
              <w:t>SS：7</w:t>
            </w:r>
            <w:r>
              <w:rPr>
                <w:rFonts w:ascii="Times New Roman" w:hAnsi="Times New Roman" w:cs="Times New Roman"/>
                <w:sz w:val="21"/>
                <w:szCs w:val="21"/>
              </w:rPr>
              <w:t>.515</w:t>
            </w:r>
            <w:r>
              <w:rPr>
                <w:rFonts w:hint="eastAsia" w:ascii="Times New Roman" w:hAnsi="Times New Roman" w:cs="Times New Roman"/>
                <w:sz w:val="21"/>
                <w:szCs w:val="21"/>
              </w:rPr>
              <w:t>mg/L，</w:t>
            </w:r>
            <w:r>
              <w:rPr>
                <w:rFonts w:ascii="Times New Roman" w:hAnsi="Times New Roman" w:cs="Times New Roman"/>
                <w:sz w:val="21"/>
                <w:szCs w:val="21"/>
              </w:rPr>
              <w:t>0.342</w:t>
            </w:r>
            <w:r>
              <w:rPr>
                <w:rFonts w:hint="eastAsia" w:ascii="Times New Roman" w:hAnsi="Times New Roman" w:cs="Times New Roman"/>
                <w:sz w:val="21"/>
                <w:szCs w:val="21"/>
              </w:rPr>
              <w:t>t/a</w:t>
            </w:r>
            <w:r>
              <w:rPr>
                <w:rFonts w:ascii="Times New Roman" w:hAnsi="Times New Roman" w:cs="Times New Roman"/>
                <w:sz w:val="21"/>
                <w:szCs w:val="21"/>
              </w:rPr>
              <w:t xml:space="preserve">  </w:t>
            </w:r>
            <w:r>
              <w:rPr>
                <w:rFonts w:hint="eastAsia" w:ascii="Times New Roman" w:hAnsi="Times New Roman" w:cs="Times New Roman"/>
                <w:sz w:val="21"/>
                <w:szCs w:val="21"/>
              </w:rPr>
              <w:t>NH</w:t>
            </w:r>
            <w:r>
              <w:rPr>
                <w:rFonts w:hint="eastAsia" w:ascii="Times New Roman" w:hAnsi="Times New Roman" w:cs="Times New Roman"/>
                <w:sz w:val="21"/>
                <w:szCs w:val="21"/>
                <w:vertAlign w:val="subscript"/>
              </w:rPr>
              <w:t>3</w:t>
            </w:r>
            <w:r>
              <w:rPr>
                <w:rFonts w:hint="eastAsia" w:ascii="Times New Roman" w:hAnsi="Times New Roman" w:cs="Times New Roman"/>
                <w:sz w:val="21"/>
                <w:szCs w:val="21"/>
              </w:rPr>
              <w:t>-N：4.</w:t>
            </w:r>
            <w:r>
              <w:rPr>
                <w:rFonts w:ascii="Times New Roman" w:hAnsi="Times New Roman" w:cs="Times New Roman"/>
                <w:sz w:val="21"/>
                <w:szCs w:val="21"/>
              </w:rPr>
              <w:t>13</w:t>
            </w:r>
            <w:r>
              <w:rPr>
                <w:rFonts w:hint="eastAsia" w:ascii="Times New Roman" w:hAnsi="Times New Roman" w:cs="Times New Roman"/>
                <w:sz w:val="21"/>
                <w:szCs w:val="21"/>
              </w:rPr>
              <w:t>mg/L，</w:t>
            </w:r>
            <w:r>
              <w:rPr>
                <w:rFonts w:ascii="Times New Roman" w:hAnsi="Times New Roman" w:cs="Times New Roman"/>
                <w:sz w:val="21"/>
                <w:szCs w:val="21"/>
              </w:rPr>
              <w:t>0.1877</w:t>
            </w:r>
            <w:r>
              <w:rPr>
                <w:rFonts w:hint="eastAsia" w:ascii="Times New Roman" w:hAnsi="Times New Roman" w:cs="Times New Roman"/>
                <w:sz w:val="21"/>
                <w:szCs w:val="21"/>
              </w:rPr>
              <w:t>t/a</w:t>
            </w:r>
          </w:p>
          <w:p>
            <w:pPr>
              <w:spacing w:line="240" w:lineRule="auto"/>
              <w:rPr>
                <w:rFonts w:ascii="Times New Roman" w:hAnsi="Times New Roman" w:cs="Times New Roman"/>
                <w:sz w:val="21"/>
                <w:szCs w:val="21"/>
              </w:rPr>
            </w:pPr>
            <w:r>
              <w:rPr>
                <w:rFonts w:hint="eastAsia" w:ascii="Times New Roman" w:hAnsi="Times New Roman" w:cs="Times New Roman"/>
                <w:sz w:val="21"/>
                <w:szCs w:val="21"/>
              </w:rPr>
              <w:t>动植物油：0.</w:t>
            </w:r>
            <w:r>
              <w:rPr>
                <w:rFonts w:ascii="Times New Roman" w:hAnsi="Times New Roman" w:cs="Times New Roman"/>
                <w:sz w:val="21"/>
                <w:szCs w:val="21"/>
              </w:rPr>
              <w:t>967</w:t>
            </w:r>
            <w:r>
              <w:rPr>
                <w:rFonts w:hint="eastAsia" w:ascii="Times New Roman" w:hAnsi="Times New Roman" w:cs="Times New Roman"/>
                <w:sz w:val="21"/>
                <w:szCs w:val="21"/>
              </w:rPr>
              <w:t>mg/L，0.</w:t>
            </w:r>
            <w:r>
              <w:rPr>
                <w:rFonts w:ascii="Times New Roman" w:hAnsi="Times New Roman" w:cs="Times New Roman"/>
                <w:sz w:val="21"/>
                <w:szCs w:val="21"/>
              </w:rPr>
              <w:t>044</w:t>
            </w:r>
            <w:r>
              <w:rPr>
                <w:rFonts w:hint="eastAsia" w:ascii="Times New Roman" w:hAnsi="Times New Roman" w:cs="Times New Roman"/>
                <w:sz w:val="21"/>
                <w:szCs w:val="21"/>
              </w:rPr>
              <w:t>t/a</w:t>
            </w:r>
          </w:p>
          <w:p>
            <w:pPr>
              <w:pStyle w:val="38"/>
              <w:numPr>
                <w:ilvl w:val="0"/>
                <w:numId w:val="7"/>
              </w:numPr>
              <w:spacing w:line="240" w:lineRule="auto"/>
              <w:ind w:firstLineChars="0"/>
              <w:jc w:val="center"/>
              <w:rPr>
                <w:rFonts w:ascii="Times New Roman" w:hAnsi="Times New Roman" w:cs="Times New Roman"/>
                <w:sz w:val="21"/>
                <w:szCs w:val="21"/>
              </w:rPr>
            </w:pPr>
            <w:r>
              <w:rPr>
                <w:rFonts w:hint="eastAsia" w:ascii="Times New Roman" w:hAnsi="Times New Roman" w:cs="Times New Roman"/>
                <w:sz w:val="21"/>
                <w:szCs w:val="21"/>
              </w:rPr>
              <w:t>接通污水处理厂之后：</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COD：</w:t>
            </w:r>
            <w:r>
              <w:rPr>
                <w:rFonts w:ascii="Times New Roman" w:hAnsi="Times New Roman" w:cs="Times New Roman"/>
                <w:sz w:val="21"/>
                <w:szCs w:val="21"/>
              </w:rPr>
              <w:t>50</w:t>
            </w:r>
            <w:r>
              <w:rPr>
                <w:rFonts w:hint="eastAsia" w:ascii="Times New Roman" w:hAnsi="Times New Roman" w:cs="Times New Roman"/>
                <w:sz w:val="21"/>
                <w:szCs w:val="21"/>
              </w:rPr>
              <w:t>mg/L，</w:t>
            </w:r>
            <w:r>
              <w:rPr>
                <w:rFonts w:ascii="Times New Roman" w:hAnsi="Times New Roman" w:cs="Times New Roman"/>
                <w:sz w:val="21"/>
                <w:szCs w:val="21"/>
              </w:rPr>
              <w:t>2.229</w:t>
            </w:r>
            <w:r>
              <w:rPr>
                <w:rFonts w:hint="eastAsia" w:ascii="Times New Roman" w:hAnsi="Times New Roman" w:cs="Times New Roman"/>
                <w:sz w:val="21"/>
                <w:szCs w:val="21"/>
              </w:rPr>
              <w:t>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BOD</w:t>
            </w:r>
            <w:r>
              <w:rPr>
                <w:rFonts w:hint="eastAsia" w:ascii="Times New Roman" w:hAnsi="Times New Roman" w:cs="Times New Roman"/>
                <w:sz w:val="21"/>
                <w:szCs w:val="21"/>
                <w:vertAlign w:val="subscript"/>
              </w:rPr>
              <w:t>5</w:t>
            </w:r>
            <w:r>
              <w:rPr>
                <w:rFonts w:hint="eastAsia" w:ascii="Times New Roman" w:hAnsi="Times New Roman" w:cs="Times New Roman"/>
                <w:sz w:val="21"/>
                <w:szCs w:val="21"/>
              </w:rPr>
              <w:t>：</w:t>
            </w:r>
            <w:r>
              <w:rPr>
                <w:rFonts w:ascii="Times New Roman" w:hAnsi="Times New Roman" w:cs="Times New Roman"/>
                <w:sz w:val="21"/>
                <w:szCs w:val="21"/>
              </w:rPr>
              <w:t>10</w:t>
            </w:r>
            <w:r>
              <w:rPr>
                <w:rFonts w:hint="eastAsia" w:ascii="Times New Roman" w:hAnsi="Times New Roman" w:cs="Times New Roman"/>
                <w:sz w:val="21"/>
                <w:szCs w:val="21"/>
              </w:rPr>
              <w:t>mg/L，</w:t>
            </w:r>
            <w:r>
              <w:rPr>
                <w:rFonts w:ascii="Times New Roman" w:hAnsi="Times New Roman" w:cs="Times New Roman"/>
                <w:sz w:val="21"/>
                <w:szCs w:val="21"/>
              </w:rPr>
              <w:t>0.45504</w:t>
            </w:r>
            <w:r>
              <w:rPr>
                <w:rFonts w:hint="eastAsia" w:ascii="Times New Roman" w:hAnsi="Times New Roman" w:cs="Times New Roman"/>
                <w:sz w:val="21"/>
                <w:szCs w:val="21"/>
              </w:rPr>
              <w:t>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SS：</w:t>
            </w:r>
            <w:r>
              <w:rPr>
                <w:rFonts w:ascii="Times New Roman" w:hAnsi="Times New Roman" w:cs="Times New Roman"/>
                <w:sz w:val="21"/>
                <w:szCs w:val="21"/>
              </w:rPr>
              <w:t>10</w:t>
            </w:r>
            <w:r>
              <w:rPr>
                <w:rFonts w:hint="eastAsia" w:ascii="Times New Roman" w:hAnsi="Times New Roman" w:cs="Times New Roman"/>
                <w:sz w:val="21"/>
                <w:szCs w:val="21"/>
              </w:rPr>
              <w:t>mg/L，</w:t>
            </w:r>
            <w:r>
              <w:rPr>
                <w:rFonts w:ascii="Times New Roman" w:hAnsi="Times New Roman" w:cs="Times New Roman"/>
                <w:sz w:val="21"/>
                <w:szCs w:val="21"/>
              </w:rPr>
              <w:t>0.45504</w:t>
            </w:r>
            <w:r>
              <w:rPr>
                <w:rFonts w:hint="eastAsia" w:ascii="Times New Roman" w:hAnsi="Times New Roman" w:cs="Times New Roman"/>
                <w:sz w:val="21"/>
                <w:szCs w:val="21"/>
              </w:rPr>
              <w:t>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NH</w:t>
            </w:r>
            <w:r>
              <w:rPr>
                <w:rFonts w:hint="eastAsia" w:ascii="Times New Roman" w:hAnsi="Times New Roman" w:cs="Times New Roman"/>
                <w:sz w:val="21"/>
                <w:szCs w:val="21"/>
                <w:vertAlign w:val="subscript"/>
              </w:rPr>
              <w:t>3</w:t>
            </w:r>
            <w:r>
              <w:rPr>
                <w:rFonts w:hint="eastAsia" w:ascii="Times New Roman" w:hAnsi="Times New Roman" w:cs="Times New Roman"/>
                <w:sz w:val="21"/>
                <w:szCs w:val="21"/>
              </w:rPr>
              <w:t>-N：</w:t>
            </w:r>
            <w:r>
              <w:rPr>
                <w:rFonts w:ascii="Times New Roman" w:hAnsi="Times New Roman" w:cs="Times New Roman"/>
                <w:sz w:val="21"/>
                <w:szCs w:val="21"/>
              </w:rPr>
              <w:t>5</w:t>
            </w:r>
            <w:r>
              <w:rPr>
                <w:rFonts w:hint="eastAsia" w:ascii="Times New Roman" w:hAnsi="Times New Roman" w:cs="Times New Roman"/>
                <w:sz w:val="21"/>
                <w:szCs w:val="21"/>
              </w:rPr>
              <w:t>mg/L，</w:t>
            </w:r>
            <w:r>
              <w:rPr>
                <w:rFonts w:ascii="Times New Roman" w:hAnsi="Times New Roman" w:cs="Times New Roman"/>
                <w:sz w:val="21"/>
                <w:szCs w:val="21"/>
              </w:rPr>
              <w:t>0.2282</w:t>
            </w:r>
            <w:r>
              <w:rPr>
                <w:rFonts w:hint="eastAsia" w:ascii="Times New Roman" w:hAnsi="Times New Roman" w:cs="Times New Roman"/>
                <w:sz w:val="21"/>
                <w:szCs w:val="21"/>
              </w:rPr>
              <w:t>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动植物油：</w:t>
            </w:r>
            <w:r>
              <w:rPr>
                <w:rFonts w:ascii="Times New Roman" w:hAnsi="Times New Roman" w:cs="Times New Roman"/>
                <w:sz w:val="21"/>
                <w:szCs w:val="21"/>
              </w:rPr>
              <w:t>1</w:t>
            </w:r>
            <w:r>
              <w:rPr>
                <w:rFonts w:hint="eastAsia" w:ascii="Times New Roman" w:hAnsi="Times New Roman" w:cs="Times New Roman"/>
                <w:sz w:val="21"/>
                <w:szCs w:val="21"/>
              </w:rPr>
              <w:t>mg/L，</w:t>
            </w:r>
            <w:r>
              <w:rPr>
                <w:rFonts w:ascii="Times New Roman" w:hAnsi="Times New Roman" w:cs="Times New Roman"/>
                <w:sz w:val="21"/>
                <w:szCs w:val="21"/>
              </w:rPr>
              <w:t>0.045</w:t>
            </w:r>
            <w:r>
              <w:rPr>
                <w:rFonts w:hint="eastAsia" w:ascii="Times New Roman" w:hAnsi="Times New Roman" w:cs="Times New Roman"/>
                <w:sz w:val="21"/>
                <w:szCs w:val="21"/>
              </w:rPr>
              <w:t>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200mg/L，7.146t/a</w:t>
            </w:r>
          </w:p>
        </w:tc>
        <w:tc>
          <w:tcPr>
            <w:tcW w:w="2842" w:type="dxa"/>
            <w:vMerge w:val="continue"/>
            <w:tcBorders>
              <w:tl2br w:val="nil"/>
              <w:tr2bl w:val="nil"/>
            </w:tcBorders>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300mg/L，1.072t/a</w:t>
            </w:r>
          </w:p>
        </w:tc>
        <w:tc>
          <w:tcPr>
            <w:tcW w:w="2842" w:type="dxa"/>
            <w:vMerge w:val="continue"/>
            <w:tcBorders>
              <w:tl2br w:val="nil"/>
              <w:tr2bl w:val="nil"/>
            </w:tcBorders>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30mg/L，7.146t/a</w:t>
            </w:r>
          </w:p>
        </w:tc>
        <w:tc>
          <w:tcPr>
            <w:tcW w:w="2842" w:type="dxa"/>
            <w:vMerge w:val="continue"/>
            <w:tcBorders>
              <w:tl2br w:val="nil"/>
              <w:tr2bl w:val="nil"/>
            </w:tcBorders>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动植物油</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20mg/L,</w:t>
            </w:r>
            <w:r>
              <w:rPr>
                <w:rFonts w:hint="eastAsia" w:ascii="Times New Roman" w:hAnsi="Times New Roman" w:cs="Times New Roman"/>
                <w:sz w:val="21"/>
                <w:szCs w:val="21"/>
              </w:rPr>
              <w:t>0</w:t>
            </w:r>
            <w:r>
              <w:rPr>
                <w:rFonts w:ascii="Times New Roman" w:hAnsi="Times New Roman" w:cs="Times New Roman"/>
                <w:sz w:val="21"/>
                <w:szCs w:val="21"/>
              </w:rPr>
              <w:t>.715t/a</w:t>
            </w:r>
          </w:p>
        </w:tc>
        <w:tc>
          <w:tcPr>
            <w:tcW w:w="2842" w:type="dxa"/>
            <w:vMerge w:val="continue"/>
            <w:tcBorders>
              <w:tl2br w:val="nil"/>
              <w:tr2bl w:val="nil"/>
            </w:tcBorders>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pStyle w:val="2"/>
              <w:spacing w:after="0" w:line="240" w:lineRule="auto"/>
              <w:rPr>
                <w:rFonts w:ascii="Times New Roman" w:hAnsi="Times New Roman" w:cs="Times New Roman"/>
                <w:sz w:val="21"/>
                <w:szCs w:val="21"/>
              </w:rPr>
            </w:pPr>
            <w:r>
              <w:rPr>
                <w:rFonts w:ascii="Times New Roman" w:hAnsi="Times New Roman" w:cs="Times New Roman"/>
                <w:sz w:val="21"/>
                <w:szCs w:val="21"/>
              </w:rPr>
              <w:t>食堂废水</w:t>
            </w:r>
          </w:p>
          <w:p>
            <w:pPr>
              <w:pStyle w:val="2"/>
              <w:spacing w:after="0" w:line="240" w:lineRule="auto"/>
              <w:rPr>
                <w:rFonts w:ascii="Times New Roman" w:hAnsi="Times New Roman" w:cs="Times New Roman"/>
                <w:sz w:val="21"/>
                <w:szCs w:val="21"/>
              </w:rPr>
            </w:pPr>
            <w:r>
              <w:rPr>
                <w:rFonts w:hint="eastAsia" w:ascii="Times New Roman" w:hAnsi="Times New Roman" w:cs="Times New Roman"/>
                <w:sz w:val="21"/>
                <w:szCs w:val="21"/>
              </w:rPr>
              <w:t>（产生量：</w:t>
            </w:r>
            <w:r>
              <w:rPr>
                <w:rFonts w:ascii="Times New Roman" w:hAnsi="Times New Roman" w:cs="Times New Roman"/>
                <w:sz w:val="21"/>
                <w:szCs w:val="21"/>
              </w:rPr>
              <w:t>19350m</w:t>
            </w:r>
            <w:r>
              <w:rPr>
                <w:rFonts w:ascii="Times New Roman" w:hAnsi="Times New Roman" w:cs="Times New Roman"/>
                <w:sz w:val="21"/>
                <w:szCs w:val="21"/>
                <w:vertAlign w:val="superscript"/>
              </w:rPr>
              <w:t>3</w:t>
            </w:r>
            <w:r>
              <w:rPr>
                <w:rFonts w:ascii="Times New Roman" w:hAnsi="Times New Roman" w:cs="Times New Roman"/>
                <w:sz w:val="21"/>
                <w:szCs w:val="21"/>
              </w:rPr>
              <w: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排放量：</w:t>
            </w:r>
            <w:r>
              <w:rPr>
                <w:rFonts w:ascii="Times New Roman" w:hAnsi="Times New Roman" w:cs="Times New Roman"/>
                <w:sz w:val="21"/>
                <w:szCs w:val="21"/>
              </w:rPr>
              <w:t>15480m</w:t>
            </w:r>
            <w:r>
              <w:rPr>
                <w:rFonts w:ascii="Times New Roman" w:hAnsi="Times New Roman" w:cs="Times New Roman"/>
                <w:sz w:val="21"/>
                <w:szCs w:val="21"/>
                <w:vertAlign w:val="superscript"/>
              </w:rPr>
              <w:t>3</w:t>
            </w:r>
            <w:r>
              <w:rPr>
                <w:rFonts w:ascii="Times New Roman" w:hAnsi="Times New Roman" w:cs="Times New Roman"/>
                <w:sz w:val="21"/>
                <w:szCs w:val="21"/>
              </w:rPr>
              <w:t>/a</w:t>
            </w:r>
            <w:r>
              <w:rPr>
                <w:rFonts w:hint="eastAsia" w:ascii="Times New Roman" w:hAnsi="Times New Roman" w:cs="Times New Roman"/>
                <w:sz w:val="21"/>
                <w:szCs w:val="21"/>
              </w:rPr>
              <w:t>）</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600mg/L，11.51t/a</w:t>
            </w:r>
          </w:p>
        </w:tc>
        <w:tc>
          <w:tcPr>
            <w:tcW w:w="2842" w:type="dxa"/>
            <w:vMerge w:val="continue"/>
            <w:tcBorders>
              <w:tl2br w:val="nil"/>
              <w:tr2bl w:val="nil"/>
            </w:tcBorders>
            <w:vAlign w:val="center"/>
          </w:tcPr>
          <w:p>
            <w:pPr>
              <w:spacing w:line="240" w:lineRule="auto"/>
              <w:jc w:val="left"/>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300mg/L，5.805t/a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30mg/L，0.581t/a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250mg/L，4.8375t/a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动植物油</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40mg/L，0.774t/a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实验室废水</w:t>
            </w:r>
          </w:p>
        </w:tc>
        <w:tc>
          <w:tcPr>
            <w:tcW w:w="1218" w:type="dxa"/>
            <w:vMerge w:val="restart"/>
            <w:tcBorders>
              <w:tl2br w:val="nil"/>
              <w:tr2bl w:val="nil"/>
            </w:tcBorders>
            <w:vAlign w:val="center"/>
          </w:tcPr>
          <w:p>
            <w:pPr>
              <w:pStyle w:val="2"/>
              <w:spacing w:after="0" w:line="240" w:lineRule="auto"/>
              <w:rPr>
                <w:rFonts w:ascii="Times New Roman" w:hAnsi="Times New Roman" w:cs="Times New Roman"/>
                <w:sz w:val="21"/>
                <w:szCs w:val="21"/>
              </w:rPr>
            </w:pPr>
            <w:r>
              <w:rPr>
                <w:rFonts w:ascii="Times New Roman" w:hAnsi="Times New Roman" w:cs="Times New Roman"/>
                <w:sz w:val="21"/>
                <w:szCs w:val="21"/>
              </w:rPr>
              <w:t>化学实验室废水</w:t>
            </w:r>
            <w:r>
              <w:rPr>
                <w:rFonts w:hint="eastAsia" w:ascii="Times New Roman" w:hAnsi="Times New Roman" w:cs="Times New Roman"/>
                <w:sz w:val="21"/>
                <w:szCs w:val="21"/>
              </w:rPr>
              <w:t>（产生量：</w:t>
            </w:r>
            <w:r>
              <w:rPr>
                <w:rFonts w:ascii="Times New Roman" w:hAnsi="Times New Roman" w:cs="Times New Roman"/>
                <w:sz w:val="21"/>
                <w:szCs w:val="21"/>
              </w:rPr>
              <w:t>1000 m</w:t>
            </w:r>
            <w:r>
              <w:rPr>
                <w:rFonts w:ascii="Times New Roman" w:hAnsi="Times New Roman" w:cs="Times New Roman"/>
                <w:sz w:val="21"/>
                <w:szCs w:val="21"/>
                <w:vertAlign w:val="superscript"/>
              </w:rPr>
              <w:t>3</w:t>
            </w:r>
            <w:r>
              <w:rPr>
                <w:rFonts w:ascii="Times New Roman" w:hAnsi="Times New Roman" w:cs="Times New Roman"/>
                <w:sz w:val="21"/>
                <w:szCs w:val="21"/>
              </w:rPr>
              <w: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排放量：</w:t>
            </w:r>
            <w:r>
              <w:rPr>
                <w:rFonts w:ascii="Times New Roman" w:hAnsi="Times New Roman" w:cs="Times New Roman"/>
                <w:sz w:val="21"/>
                <w:szCs w:val="21"/>
              </w:rPr>
              <w:t>800m</w:t>
            </w:r>
            <w:r>
              <w:rPr>
                <w:rFonts w:ascii="Times New Roman" w:hAnsi="Times New Roman" w:cs="Times New Roman"/>
                <w:sz w:val="21"/>
                <w:szCs w:val="21"/>
                <w:vertAlign w:val="superscript"/>
              </w:rPr>
              <w:t>3</w:t>
            </w:r>
            <w:r>
              <w:rPr>
                <w:rFonts w:ascii="Times New Roman" w:hAnsi="Times New Roman" w:cs="Times New Roman"/>
                <w:sz w:val="21"/>
                <w:szCs w:val="21"/>
              </w:rPr>
              <w:t>/a）</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650mg/L，0.65a</w:t>
            </w:r>
          </w:p>
        </w:tc>
        <w:tc>
          <w:tcPr>
            <w:tcW w:w="2842" w:type="dxa"/>
            <w:vMerge w:val="continue"/>
            <w:tcBorders>
              <w:tl2br w:val="nil"/>
              <w:tr2bl w:val="nil"/>
            </w:tcBorders>
            <w:vAlign w:val="center"/>
          </w:tcPr>
          <w:p>
            <w:pPr>
              <w:spacing w:line="240" w:lineRule="auto"/>
              <w:jc w:val="left"/>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300mg/L，0.3/a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500mg/L，0.5/a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w:t>
            </w:r>
            <w:r>
              <w:rPr>
                <w:rFonts w:ascii="Times New Roman" w:hAnsi="Times New Roman" w:cs="Times New Roman"/>
                <w:sz w:val="21"/>
                <w:szCs w:val="21"/>
              </w:rPr>
              <w:t>0mg/L，</w:t>
            </w:r>
            <w:r>
              <w:rPr>
                <w:rFonts w:hint="eastAsia" w:ascii="Times New Roman" w:hAnsi="Times New Roman" w:cs="Times New Roman"/>
                <w:sz w:val="21"/>
                <w:szCs w:val="21"/>
              </w:rPr>
              <w:t>0</w:t>
            </w:r>
            <w:r>
              <w:rPr>
                <w:rFonts w:ascii="Times New Roman" w:hAnsi="Times New Roman" w:cs="Times New Roman"/>
                <w:sz w:val="21"/>
                <w:szCs w:val="21"/>
              </w:rPr>
              <w:t>.05t/a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restart"/>
            <w:tcBorders>
              <w:tl2br w:val="nil"/>
              <w:tr2bl w:val="nil"/>
            </w:tcBorders>
            <w:vAlign w:val="center"/>
          </w:tcPr>
          <w:p>
            <w:pPr>
              <w:pStyle w:val="2"/>
              <w:spacing w:after="0" w:line="240" w:lineRule="auto"/>
              <w:rPr>
                <w:rFonts w:ascii="Times New Roman" w:hAnsi="Times New Roman" w:cs="Times New Roman"/>
                <w:sz w:val="21"/>
                <w:szCs w:val="21"/>
              </w:rPr>
            </w:pPr>
            <w:r>
              <w:rPr>
                <w:rFonts w:ascii="Times New Roman" w:hAnsi="Times New Roman" w:cs="Times New Roman"/>
                <w:sz w:val="21"/>
                <w:szCs w:val="21"/>
              </w:rPr>
              <w:t>生物实验室废水</w:t>
            </w:r>
            <w:r>
              <w:rPr>
                <w:rFonts w:hint="eastAsia" w:ascii="Times New Roman" w:hAnsi="Times New Roman" w:cs="Times New Roman"/>
                <w:sz w:val="21"/>
                <w:szCs w:val="21"/>
              </w:rPr>
              <w:t>（产生量：</w:t>
            </w:r>
            <w:r>
              <w:rPr>
                <w:rFonts w:ascii="Times New Roman" w:hAnsi="Times New Roman" w:cs="Times New Roman"/>
                <w:sz w:val="21"/>
                <w:szCs w:val="21"/>
              </w:rPr>
              <w:t>400m</w:t>
            </w:r>
            <w:r>
              <w:rPr>
                <w:rFonts w:ascii="Times New Roman" w:hAnsi="Times New Roman" w:cs="Times New Roman"/>
                <w:sz w:val="21"/>
                <w:szCs w:val="21"/>
                <w:vertAlign w:val="superscript"/>
              </w:rPr>
              <w:t>3</w:t>
            </w:r>
            <w:r>
              <w:rPr>
                <w:rFonts w:ascii="Times New Roman" w:hAnsi="Times New Roman" w:cs="Times New Roman"/>
                <w:sz w:val="21"/>
                <w:szCs w:val="21"/>
              </w:rPr>
              <w: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排放量：</w:t>
            </w:r>
            <w:r>
              <w:rPr>
                <w:rFonts w:ascii="Times New Roman" w:hAnsi="Times New Roman" w:cs="Times New Roman"/>
                <w:sz w:val="21"/>
                <w:szCs w:val="21"/>
              </w:rPr>
              <w:t>320m</w:t>
            </w:r>
            <w:r>
              <w:rPr>
                <w:rFonts w:ascii="Times New Roman" w:hAnsi="Times New Roman" w:cs="Times New Roman"/>
                <w:sz w:val="21"/>
                <w:szCs w:val="21"/>
                <w:vertAlign w:val="superscript"/>
              </w:rPr>
              <w:t>3</w:t>
            </w:r>
            <w:r>
              <w:rPr>
                <w:rFonts w:ascii="Times New Roman" w:hAnsi="Times New Roman" w:cs="Times New Roman"/>
                <w:sz w:val="21"/>
                <w:szCs w:val="21"/>
              </w:rPr>
              <w:t>/a）</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30mg/L，0.027t/a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315mg/L，0.0709t/a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225mg/L，0.0506t/a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190mg/L，0.0428t/a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restart"/>
            <w:tcBorders>
              <w:tl2br w:val="nil"/>
              <w:tr2bl w:val="nil"/>
            </w:tcBorders>
            <w:vAlign w:val="center"/>
          </w:tcPr>
          <w:p>
            <w:pPr>
              <w:pStyle w:val="2"/>
              <w:spacing w:after="0" w:line="240" w:lineRule="auto"/>
              <w:rPr>
                <w:rFonts w:ascii="Times New Roman" w:hAnsi="Times New Roman" w:cs="Times New Roman"/>
                <w:sz w:val="21"/>
                <w:szCs w:val="21"/>
              </w:rPr>
            </w:pPr>
            <w:r>
              <w:rPr>
                <w:rFonts w:ascii="Times New Roman" w:hAnsi="Times New Roman" w:cs="Times New Roman"/>
                <w:sz w:val="21"/>
                <w:szCs w:val="21"/>
              </w:rPr>
              <w:t>物理实验室废水</w:t>
            </w:r>
            <w:r>
              <w:rPr>
                <w:rFonts w:hint="eastAsia" w:ascii="Times New Roman" w:hAnsi="Times New Roman" w:cs="Times New Roman"/>
                <w:sz w:val="21"/>
                <w:szCs w:val="21"/>
              </w:rPr>
              <w:t>（产生量：</w:t>
            </w:r>
            <w:r>
              <w:rPr>
                <w:rFonts w:ascii="Times New Roman" w:hAnsi="Times New Roman" w:cs="Times New Roman"/>
                <w:sz w:val="21"/>
                <w:szCs w:val="21"/>
              </w:rPr>
              <w:t>400m</w:t>
            </w:r>
            <w:r>
              <w:rPr>
                <w:rFonts w:ascii="Times New Roman" w:hAnsi="Times New Roman" w:cs="Times New Roman"/>
                <w:sz w:val="21"/>
                <w:szCs w:val="21"/>
                <w:vertAlign w:val="superscript"/>
              </w:rPr>
              <w:t>3</w:t>
            </w:r>
            <w:r>
              <w:rPr>
                <w:rFonts w:ascii="Times New Roman" w:hAnsi="Times New Roman" w:cs="Times New Roman"/>
                <w:sz w:val="21"/>
                <w:szCs w:val="21"/>
              </w:rPr>
              <w:t>/a</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排放量：</w:t>
            </w:r>
            <w:r>
              <w:rPr>
                <w:rFonts w:ascii="Times New Roman" w:hAnsi="Times New Roman" w:cs="Times New Roman"/>
                <w:sz w:val="21"/>
                <w:szCs w:val="21"/>
              </w:rPr>
              <w:t>320m</w:t>
            </w:r>
            <w:r>
              <w:rPr>
                <w:rFonts w:ascii="Times New Roman" w:hAnsi="Times New Roman" w:cs="Times New Roman"/>
                <w:sz w:val="21"/>
                <w:szCs w:val="21"/>
                <w:vertAlign w:val="superscript"/>
              </w:rPr>
              <w:t>3</w:t>
            </w:r>
            <w:r>
              <w:rPr>
                <w:rFonts w:ascii="Times New Roman" w:hAnsi="Times New Roman" w:cs="Times New Roman"/>
                <w:sz w:val="21"/>
                <w:szCs w:val="21"/>
              </w:rPr>
              <w:t>/a）</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315mg/L，0.0788t/a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BOD</w:t>
            </w:r>
            <w:r>
              <w:rPr>
                <w:rFonts w:ascii="Times New Roman" w:hAnsi="Times New Roman" w:cs="Times New Roman"/>
                <w:sz w:val="21"/>
                <w:szCs w:val="21"/>
                <w:vertAlign w:val="subscript"/>
              </w:rPr>
              <w:t>5</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225mg/L，0.0563t/a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190mg/L，0.0475t/a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18"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氨氮</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30mg/L，0.0075t/a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噪声</w:t>
            </w:r>
          </w:p>
        </w:tc>
        <w:tc>
          <w:tcPr>
            <w:tcW w:w="2080"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设备噪声</w:t>
            </w:r>
          </w:p>
        </w:tc>
        <w:tc>
          <w:tcPr>
            <w:tcW w:w="4968"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87~105dB（A）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2956"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汽车噪声</w:t>
            </w:r>
          </w:p>
        </w:tc>
        <w:tc>
          <w:tcPr>
            <w:tcW w:w="4968"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60</w:t>
            </w:r>
            <w:r>
              <w:rPr>
                <w:rFonts w:hint="eastAsia" w:ascii="Times New Roman" w:hAnsi="Times New Roman" w:cs="Times New Roman"/>
                <w:sz w:val="21"/>
                <w:szCs w:val="21"/>
              </w:rPr>
              <w:t>-</w:t>
            </w:r>
            <w:r>
              <w:rPr>
                <w:rFonts w:ascii="Times New Roman" w:hAnsi="Times New Roman" w:cs="Times New Roman"/>
                <w:sz w:val="21"/>
                <w:szCs w:val="21"/>
              </w:rPr>
              <w:t>70dB（A）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2956"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机械设备噪声</w:t>
            </w:r>
          </w:p>
        </w:tc>
        <w:tc>
          <w:tcPr>
            <w:tcW w:w="4968"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80~85dB（A）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2956" w:type="dxa"/>
            <w:gridSpan w:val="3"/>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教学活动噪声</w:t>
            </w:r>
          </w:p>
        </w:tc>
        <w:tc>
          <w:tcPr>
            <w:tcW w:w="4968"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70~85dB（A）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固废</w:t>
            </w: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680" w:type="dxa"/>
            <w:gridSpan w:val="2"/>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施工过程</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弃土</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25468m</w:t>
            </w:r>
            <w:r>
              <w:rPr>
                <w:rFonts w:ascii="Times New Roman" w:hAnsi="Times New Roman" w:cs="Times New Roman"/>
                <w:sz w:val="21"/>
                <w:szCs w:val="21"/>
                <w:vertAlign w:val="superscript"/>
              </w:rPr>
              <w:t>3</w:t>
            </w:r>
          </w:p>
        </w:tc>
        <w:tc>
          <w:tcPr>
            <w:tcW w:w="2842"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8134m</w:t>
            </w:r>
            <w:r>
              <w:rPr>
                <w:rFonts w:ascii="Times New Roman" w:hAnsi="Times New Roman" w:cs="Times New Roman"/>
                <w:sz w:val="21"/>
                <w:szCs w:val="21"/>
                <w:vertAlign w:val="superscript"/>
              </w:rPr>
              <w:t>3</w:t>
            </w:r>
            <w:r>
              <w:rPr>
                <w:rFonts w:hint="eastAsia" w:ascii="Times New Roman" w:hAnsi="Times New Roman" w:cs="Times New Roman"/>
                <w:sz w:val="21"/>
                <w:szCs w:val="21"/>
              </w:rPr>
              <w:t>，送往渣土办指定场所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废弃建筑材料</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1900.3675t</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运往城建部门指定地点场所统一处置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31.5t</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环卫部门统一处理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269t/a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环卫部门统一处理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餐厨垃圾</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5.6</w:t>
            </w:r>
            <w:r>
              <w:rPr>
                <w:rFonts w:ascii="Times New Roman" w:hAnsi="Times New Roman" w:eastAsia="Times-Roman" w:cs="Times New Roman"/>
                <w:sz w:val="21"/>
                <w:szCs w:val="21"/>
              </w:rPr>
              <w:t>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统一收集后外售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实验室</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废酸</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0.35t/a</w:t>
            </w:r>
          </w:p>
        </w:tc>
        <w:tc>
          <w:tcPr>
            <w:tcW w:w="284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有资质的单位处理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化学实验室清洗废液</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8</w:t>
            </w:r>
            <w:r>
              <w:rPr>
                <w:rFonts w:ascii="Times New Roman" w:hAnsi="Times New Roman" w:cs="Times New Roman"/>
                <w:sz w:val="21"/>
                <w:szCs w:val="21"/>
              </w:rPr>
              <w:t>0t/a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废碱</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0.35t/a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废包装容器</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0.5t/a</w:t>
            </w:r>
          </w:p>
        </w:tc>
        <w:tc>
          <w:tcPr>
            <w:tcW w:w="284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生物培养基等</w:t>
            </w:r>
          </w:p>
        </w:tc>
        <w:tc>
          <w:tcPr>
            <w:tcW w:w="2126" w:type="dxa"/>
            <w:tcBorders>
              <w:tl2br w:val="nil"/>
              <w:tr2bl w:val="nil"/>
            </w:tcBorders>
            <w:vAlign w:val="center"/>
          </w:tcPr>
          <w:p>
            <w:pPr>
              <w:spacing w:line="240" w:lineRule="auto"/>
              <w:jc w:val="center"/>
              <w:rPr>
                <w:rFonts w:ascii="Times New Roman" w:hAnsi="Times New Roman" w:eastAsia="Times-Roman" w:cs="Times New Roman"/>
                <w:sz w:val="21"/>
                <w:szCs w:val="21"/>
              </w:rPr>
            </w:pPr>
            <w:r>
              <w:rPr>
                <w:rFonts w:ascii="Times New Roman" w:hAnsi="Times New Roman" w:cs="Times New Roman"/>
                <w:sz w:val="21"/>
                <w:szCs w:val="21"/>
              </w:rPr>
              <w:t>0.1t/a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灭活后资质的单位处理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restar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污泥</w:t>
            </w: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污水处理站</w:t>
            </w:r>
            <w:r>
              <w:rPr>
                <w:rFonts w:ascii="Times New Roman" w:hAnsi="Times New Roman" w:cs="Times New Roman"/>
                <w:sz w:val="21"/>
                <w:szCs w:val="21"/>
              </w:rPr>
              <w:t>一般污泥</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5.7625t/a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bCs/>
                <w:sz w:val="21"/>
                <w:szCs w:val="21"/>
              </w:rPr>
              <w:t>出售至有机质肥料生产厂家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276" w:type="dxa"/>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危废污泥</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0.199t/a</w:t>
            </w:r>
          </w:p>
        </w:tc>
        <w:tc>
          <w:tcPr>
            <w:tcW w:w="2842"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bCs/>
                <w:sz w:val="21"/>
                <w:szCs w:val="21"/>
              </w:rPr>
              <w:t>送有资质单位集中无害化处理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6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400"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680" w:type="dxa"/>
            <w:gridSpan w:val="2"/>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医疗</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医疗固废</w:t>
            </w:r>
          </w:p>
        </w:tc>
        <w:tc>
          <w:tcPr>
            <w:tcW w:w="212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0.5t/a</w:t>
            </w:r>
          </w:p>
        </w:tc>
        <w:tc>
          <w:tcPr>
            <w:tcW w:w="2842" w:type="dxa"/>
            <w:tcBorders>
              <w:tl2br w:val="nil"/>
              <w:tr2bl w:val="nil"/>
            </w:tcBorders>
            <w:vAlign w:val="center"/>
          </w:tcPr>
          <w:p>
            <w:pPr>
              <w:spacing w:line="240" w:lineRule="auto"/>
              <w:jc w:val="center"/>
              <w:rPr>
                <w:rFonts w:ascii="Times New Roman" w:hAnsi="Times New Roman" w:cs="Times New Roman"/>
                <w:bCs/>
                <w:sz w:val="21"/>
                <w:szCs w:val="21"/>
              </w:rPr>
            </w:pPr>
            <w:r>
              <w:rPr>
                <w:rFonts w:ascii="Times New Roman" w:hAnsi="Times New Roman" w:cs="Times New Roman"/>
                <w:bCs/>
                <w:sz w:val="21"/>
                <w:szCs w:val="21"/>
              </w:rPr>
              <w:t>送有资质单位集中无害化处理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72" w:hRule="atLeast"/>
          <w:jc w:val="center"/>
        </w:trPr>
        <w:tc>
          <w:tcPr>
            <w:tcW w:w="9286" w:type="dxa"/>
            <w:gridSpan w:val="7"/>
            <w:tcBorders>
              <w:tl2br w:val="nil"/>
              <w:tr2bl w:val="nil"/>
            </w:tcBorders>
          </w:tcPr>
          <w:p>
            <w:pPr>
              <w:tabs>
                <w:tab w:val="left" w:pos="5925"/>
              </w:tabs>
              <w:spacing w:line="440" w:lineRule="exact"/>
              <w:rPr>
                <w:rFonts w:ascii="Times New Roman" w:hAnsi="Times New Roman" w:cs="Times New Roman"/>
                <w:szCs w:val="24"/>
              </w:rPr>
            </w:pPr>
            <w:r>
              <w:rPr>
                <w:rFonts w:ascii="Times New Roman" w:hAnsi="Times New Roman" w:cs="Times New Roman"/>
                <w:b/>
                <w:bCs/>
                <w:szCs w:val="24"/>
              </w:rPr>
              <w:t>主要生态影响</w:t>
            </w:r>
            <w:r>
              <w:rPr>
                <w:rFonts w:ascii="Times New Roman" w:hAnsi="Times New Roman" w:cs="Times New Roman"/>
                <w:szCs w:val="24"/>
              </w:rPr>
              <w:t>：</w:t>
            </w:r>
          </w:p>
          <w:p>
            <w:pPr>
              <w:pStyle w:val="32"/>
              <w:ind w:firstLine="480"/>
              <w:rPr>
                <w:rFonts w:ascii="Times New Roman" w:hAnsi="Times New Roman" w:eastAsia="宋体" w:cs="Times New Roman"/>
                <w:sz w:val="21"/>
                <w:szCs w:val="21"/>
              </w:rPr>
            </w:pPr>
            <w:r>
              <w:rPr>
                <w:rFonts w:ascii="Times New Roman" w:hAnsi="Times New Roman" w:cs="Times New Roman"/>
                <w:szCs w:val="24"/>
              </w:rPr>
              <w:t>工程建设施工期间，由于较大面积开挖，地表原有硬化土及少量的植被受到破坏，在降雨侵蚀力的作用下可能发生水土流失情况。因此，施工期间必须采取严格的防治措施以减少水土流失，如尽量缩短土地裸露时间，加快工程项目建设；施工进度安排避开在降雨量大的月份大面积开挖和堆填；地面应压实；周围开挖截水沟等。</w:t>
            </w:r>
          </w:p>
        </w:tc>
      </w:tr>
    </w:tbl>
    <w:p>
      <w:pPr>
        <w:pStyle w:val="4"/>
      </w:pPr>
      <w:bookmarkStart w:id="63" w:name="_Toc34059535"/>
      <w:r>
        <w:rPr>
          <w:rFonts w:hint="eastAsia"/>
        </w:rPr>
        <w:t>七、环境影响分析</w:t>
      </w:r>
      <w:bookmarkEnd w:id="63"/>
    </w:p>
    <w:tbl>
      <w:tblPr>
        <w:tblStyle w:val="24"/>
        <w:tblW w:w="9286"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457"/>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8522" w:type="dxa"/>
            <w:tcBorders>
              <w:tl2br w:val="nil"/>
              <w:tr2bl w:val="nil"/>
            </w:tcBorders>
          </w:tcPr>
          <w:p>
            <w:pPr>
              <w:pStyle w:val="5"/>
              <w:ind w:firstLine="562"/>
              <w:outlineLvl w:val="1"/>
            </w:pPr>
            <w:bookmarkStart w:id="64" w:name="_Toc34059536"/>
            <w:r>
              <w:rPr>
                <w:rFonts w:hint="eastAsia"/>
              </w:rPr>
              <w:t>1、施工期环境影响评价</w:t>
            </w:r>
            <w:bookmarkEnd w:id="64"/>
          </w:p>
          <w:p>
            <w:pPr>
              <w:ind w:firstLine="480" w:firstLineChars="200"/>
            </w:pPr>
            <w:r>
              <w:t>本项目为学校建设，施工期的主要污染因素有施工扬尘、,施工人员生活污水、机械施工噪声及生态破坏等。</w:t>
            </w:r>
          </w:p>
          <w:p>
            <w:pPr>
              <w:pStyle w:val="6"/>
              <w:ind w:firstLine="482"/>
              <w:outlineLvl w:val="2"/>
              <w:rPr>
                <w:rFonts w:cs="Times New Roman"/>
                <w:bCs/>
                <w:szCs w:val="24"/>
              </w:rPr>
            </w:pPr>
            <w:bookmarkStart w:id="65" w:name="_Toc34059537"/>
            <w:r>
              <w:rPr>
                <w:rFonts w:cs="Times New Roman"/>
              </w:rPr>
              <w:t>1.</w:t>
            </w:r>
            <w:r>
              <w:rPr>
                <w:rFonts w:cs="Times New Roman"/>
                <w:bCs/>
                <w:szCs w:val="24"/>
              </w:rPr>
              <w:t>1大气污染防治措施及影响分析</w:t>
            </w:r>
            <w:bookmarkEnd w:id="65"/>
          </w:p>
          <w:p>
            <w:pPr>
              <w:ind w:firstLine="480" w:firstLineChars="200"/>
            </w:pPr>
            <w:r>
              <w:rPr>
                <w:rFonts w:hint="eastAsia"/>
              </w:rPr>
              <w:t>施工过程中造成大气污染的主要产生源有：地基开挖及运输车辆、施工机械走行车道所带来的扬尘；施工建筑材料</w:t>
            </w:r>
            <w:r>
              <w:t>(</w:t>
            </w:r>
            <w:r>
              <w:rPr>
                <w:rFonts w:hint="eastAsia"/>
              </w:rPr>
              <w:t>水泥、石灰、砂石料</w:t>
            </w:r>
            <w:r>
              <w:t>)</w:t>
            </w:r>
            <w:r>
              <w:rPr>
                <w:rFonts w:hint="eastAsia"/>
              </w:rPr>
              <w:t>的装卸、运输、堆砌过程以及开挖弃土的堆砌、运输过程中产生扬尘；各类施工机械和运输车辆所排放的废气；房屋装修的油漆废气等。</w:t>
            </w:r>
          </w:p>
          <w:p>
            <w:pPr>
              <w:numPr>
                <w:ilvl w:val="0"/>
                <w:numId w:val="8"/>
              </w:numPr>
              <w:ind w:firstLine="480" w:firstLineChars="200"/>
              <w:jc w:val="left"/>
              <w:rPr>
                <w:rFonts w:ascii="Times New Roman" w:hAnsi="Times New Roman" w:cs="Times New Roman"/>
              </w:rPr>
            </w:pPr>
            <w:r>
              <w:rPr>
                <w:rFonts w:hint="eastAsia"/>
              </w:rPr>
              <w:t>扬</w:t>
            </w:r>
            <w:r>
              <w:rPr>
                <w:rFonts w:ascii="Times New Roman" w:hAnsi="Times New Roman" w:cs="Times New Roman"/>
              </w:rPr>
              <w:t>尘</w:t>
            </w:r>
          </w:p>
          <w:p>
            <w:pPr>
              <w:ind w:firstLine="480" w:firstLineChars="200"/>
              <w:rPr>
                <w:rFonts w:ascii="Times New Roman" w:hAnsi="Times New Roman" w:cs="Times New Roman"/>
              </w:rPr>
            </w:pPr>
            <w:r>
              <w:rPr>
                <w:rFonts w:ascii="Times New Roman" w:hAnsi="Times New Roman" w:cs="Times New Roman"/>
              </w:rPr>
              <w:t>本项目在施工阶段的扬尘源强较小，根据第五章工程分析章节，施工扬尘的产生量为4.624kg/d（0.578kg/h）排放量为1.3872kg/d（0.1734kg/h），由于扬尘的源强较小，根据类比调查，扬尘的影响范围主要在施工场地周围，100m内扬尘量占总扬尘量的57%，为了减少扬尘产生量，项目实施单位在施工阶段采取围挡、洒水（一般每天4-5次）扥措施后，可以使空气中粉尘量减少70%左右，，保持施工场地湿润。可收到很好的降尘效果。相关洒水降尘试验资料如下表：</w:t>
            </w:r>
          </w:p>
          <w:p>
            <w:pPr>
              <w:widowControl/>
              <w:jc w:val="center"/>
              <w:rPr>
                <w:rFonts w:ascii="Times New Roman" w:hAnsi="Times New Roman" w:eastAsia="宋体" w:cs="Times New Roman"/>
                <w:b/>
                <w:bCs/>
                <w:color w:val="000000"/>
                <w:kern w:val="0"/>
                <w:szCs w:val="24"/>
                <w:lang w:bidi="ar"/>
              </w:rPr>
            </w:pPr>
            <w:r>
              <w:rPr>
                <w:rFonts w:ascii="Times New Roman" w:hAnsi="Times New Roman" w:eastAsia="宋体" w:cs="Times New Roman"/>
                <w:b/>
                <w:bCs/>
                <w:color w:val="000000"/>
                <w:kern w:val="0"/>
                <w:szCs w:val="24"/>
                <w:lang w:bidi="ar"/>
              </w:rPr>
              <w:t>表7-1  洒水降尘的试验资料</w:t>
            </w:r>
          </w:p>
          <w:tbl>
            <w:tblPr>
              <w:tblStyle w:val="2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1511"/>
              <w:gridCol w:w="1512"/>
              <w:gridCol w:w="1512"/>
              <w:gridCol w:w="1512"/>
              <w:gridCol w:w="15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22" w:type="dxa"/>
                  <w:gridSpan w:val="2"/>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距路边距离（m）</w:t>
                  </w:r>
                </w:p>
              </w:tc>
              <w:tc>
                <w:tcPr>
                  <w:tcW w:w="15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5</w:t>
                  </w:r>
                </w:p>
              </w:tc>
              <w:tc>
                <w:tcPr>
                  <w:tcW w:w="15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20</w:t>
                  </w:r>
                </w:p>
              </w:tc>
              <w:tc>
                <w:tcPr>
                  <w:tcW w:w="15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50</w:t>
                  </w:r>
                </w:p>
              </w:tc>
              <w:tc>
                <w:tcPr>
                  <w:tcW w:w="15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11" w:type="dxa"/>
                  <w:vMerge w:val="restart"/>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TSP浓度（mg/m</w:t>
                  </w:r>
                  <w:r>
                    <w:rPr>
                      <w:rFonts w:hint="eastAsia" w:ascii="Times New Roman" w:hAnsi="Times New Roman" w:cs="Times New Roman"/>
                      <w:sz w:val="21"/>
                      <w:szCs w:val="21"/>
                      <w:vertAlign w:val="superscript"/>
                    </w:rPr>
                    <w:t>3</w:t>
                  </w:r>
                  <w:r>
                    <w:rPr>
                      <w:rFonts w:hint="eastAsia" w:ascii="Times New Roman" w:hAnsi="Times New Roman" w:cs="Times New Roman"/>
                      <w:sz w:val="21"/>
                      <w:szCs w:val="21"/>
                    </w:rPr>
                    <w:t>）</w:t>
                  </w:r>
                </w:p>
              </w:tc>
              <w:tc>
                <w:tcPr>
                  <w:tcW w:w="1511"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不洒水</w:t>
                  </w:r>
                </w:p>
              </w:tc>
              <w:tc>
                <w:tcPr>
                  <w:tcW w:w="151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10.14</w:t>
                  </w:r>
                </w:p>
              </w:tc>
              <w:tc>
                <w:tcPr>
                  <w:tcW w:w="151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2.81</w:t>
                  </w:r>
                </w:p>
              </w:tc>
              <w:tc>
                <w:tcPr>
                  <w:tcW w:w="151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1.15</w:t>
                  </w:r>
                </w:p>
              </w:tc>
              <w:tc>
                <w:tcPr>
                  <w:tcW w:w="1512" w:type="dxa"/>
                  <w:tcBorders>
                    <w:top w:val="single" w:color="auto" w:sz="12" w:space="0"/>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11"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151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洒水</w:t>
                  </w:r>
                </w:p>
              </w:tc>
              <w:tc>
                <w:tcPr>
                  <w:tcW w:w="151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2.01</w:t>
                  </w:r>
                </w:p>
              </w:tc>
              <w:tc>
                <w:tcPr>
                  <w:tcW w:w="151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1.40</w:t>
                  </w:r>
                </w:p>
              </w:tc>
              <w:tc>
                <w:tcPr>
                  <w:tcW w:w="151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0.68</w:t>
                  </w:r>
                </w:p>
              </w:tc>
              <w:tc>
                <w:tcPr>
                  <w:tcW w:w="1512"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0.6</w:t>
                  </w:r>
                </w:p>
              </w:tc>
            </w:tr>
          </w:tbl>
          <w:p>
            <w:pPr>
              <w:widowControl/>
              <w:ind w:firstLine="480" w:firstLineChars="200"/>
              <w:jc w:val="left"/>
              <w:rPr>
                <w:rFonts w:ascii="Times New Roman" w:hAnsi="Times New Roman" w:cs="Times New Roman"/>
              </w:rPr>
            </w:pPr>
            <w:r>
              <w:rPr>
                <w:rFonts w:ascii="Times New Roman" w:hAnsi="Times New Roman" w:cs="Times New Roman"/>
              </w:rPr>
              <w:t>当施工场地洒水频率为4-5次/d 时，扬尘造成的TSP 污染距离可缩小到20-50m 范围内。</w:t>
            </w:r>
          </w:p>
          <w:p>
            <w:pPr>
              <w:widowControl/>
              <w:ind w:firstLine="480" w:firstLineChars="200"/>
              <w:jc w:val="left"/>
              <w:rPr>
                <w:rFonts w:ascii="Times New Roman" w:hAnsi="Times New Roman" w:cs="Times New Roman"/>
              </w:rPr>
            </w:pPr>
            <w:r>
              <w:rPr>
                <w:rFonts w:ascii="Times New Roman" w:hAnsi="Times New Roman" w:cs="Times New Roman"/>
              </w:rPr>
              <w:t>为进一步防治施工扬尘对周边环境的影响，根据《大气污染防治行动计划》、《关于切实加强建筑施工扬尘污染防治的通知》（岳建质安监发〔2018〕号）相关要求，项目施工期应采取的主要防治措施如下：</w:t>
            </w:r>
          </w:p>
          <w:p>
            <w:pPr>
              <w:widowControl/>
              <w:ind w:firstLine="480" w:firstLineChars="200"/>
              <w:jc w:val="left"/>
              <w:rPr>
                <w:rFonts w:ascii="Times New Roman" w:hAnsi="Times New Roman" w:cs="Times New Roman"/>
              </w:rPr>
            </w:pPr>
            <w:r>
              <w:rPr>
                <w:rFonts w:ascii="Times New Roman" w:hAnsi="Times New Roman" w:cs="Times New Roman"/>
              </w:rPr>
              <w:t xml:space="preserve">①施工工地 100%围挡：施工工地应按《岳阳市建设工程施工现场标准化图集》要求设置围挡，城区主要路段的工地应设置高度不小于2.5米的封闭围挡，一般路段的工地应设置高度不小于1.8米的封闭围挡，围挡应坚固、稳定、整洁、美观，并设置不少于50%围挡面积的公益广告。 </w:t>
            </w:r>
          </w:p>
          <w:p>
            <w:pPr>
              <w:widowControl/>
              <w:ind w:firstLine="480" w:firstLineChars="200"/>
              <w:jc w:val="left"/>
              <w:rPr>
                <w:rFonts w:ascii="Times New Roman" w:hAnsi="Times New Roman" w:cs="Times New Roman"/>
              </w:rPr>
            </w:pPr>
            <w:r>
              <w:rPr>
                <w:rFonts w:ascii="Times New Roman" w:hAnsi="Times New Roman" w:cs="Times New Roman"/>
              </w:rPr>
              <w:t>②裸土及物料堆放100%覆盖：施工现场内易产生扬尘的散体材料、粉尘材料必须进行覆盖</w:t>
            </w:r>
            <w:r>
              <w:rPr>
                <w:rFonts w:hint="eastAsia" w:ascii="Times New Roman" w:hAnsi="Times New Roman" w:cs="Times New Roman"/>
              </w:rPr>
              <w:t>；</w:t>
            </w:r>
            <w:r>
              <w:rPr>
                <w:rFonts w:ascii="Times New Roman" w:hAnsi="Times New Roman" w:cs="Times New Roman"/>
              </w:rPr>
              <w:t>裸露时间达48小时以上的作业面裸土场地必须覆盖</w:t>
            </w:r>
            <w:r>
              <w:rPr>
                <w:rFonts w:hint="eastAsia" w:ascii="Times New Roman" w:hAnsi="Times New Roman" w:cs="Times New Roman"/>
              </w:rPr>
              <w:t>；</w:t>
            </w:r>
            <w:r>
              <w:rPr>
                <w:rFonts w:ascii="Times New Roman" w:hAnsi="Times New Roman" w:cs="Times New Roman"/>
              </w:rPr>
              <w:t>非作业面裸土场地三个月以上必须进行覆盖或绿化;施工现场的建筑垃圾清理成堆后应及时清运出场，48 小时以上不能及时清运出场的必须进行覆盖。</w:t>
            </w:r>
          </w:p>
          <w:p>
            <w:pPr>
              <w:widowControl/>
              <w:ind w:firstLine="480" w:firstLineChars="200"/>
              <w:jc w:val="left"/>
              <w:rPr>
                <w:rFonts w:ascii="Times New Roman" w:hAnsi="Times New Roman" w:cs="Times New Roman"/>
              </w:rPr>
            </w:pPr>
            <w:r>
              <w:rPr>
                <w:rFonts w:ascii="Times New Roman" w:hAnsi="Times New Roman" w:cs="Times New Roman"/>
              </w:rPr>
              <w:t>③施工现场路面100%硬化：施工现场主要道路应进行硬化处理，并确保定时洒水，确保场内道路无扬尘。</w:t>
            </w:r>
          </w:p>
          <w:p>
            <w:pPr>
              <w:widowControl/>
              <w:ind w:firstLine="480" w:firstLineChars="200"/>
              <w:jc w:val="left"/>
              <w:rPr>
                <w:rFonts w:ascii="Times New Roman" w:hAnsi="Times New Roman" w:cs="Times New Roman"/>
              </w:rPr>
            </w:pPr>
            <w:r>
              <w:rPr>
                <w:rFonts w:ascii="Times New Roman" w:hAnsi="Times New Roman" w:cs="Times New Roman"/>
              </w:rPr>
              <w:t xml:space="preserve">④驶出工地车辆100%冲洗：施工现场主要出入口处应设置洗车平台，配置车辆冲洗装置，驶出施工现场的机动车辆应冲洗干净后方可上路行驶。 </w:t>
            </w:r>
          </w:p>
          <w:p>
            <w:pPr>
              <w:widowControl/>
              <w:ind w:firstLine="480" w:firstLineChars="200"/>
              <w:jc w:val="left"/>
              <w:rPr>
                <w:rFonts w:ascii="Times New Roman" w:hAnsi="Times New Roman" w:cs="Times New Roman"/>
              </w:rPr>
            </w:pPr>
            <w:r>
              <w:rPr>
                <w:rFonts w:ascii="Times New Roman" w:hAnsi="Times New Roman" w:cs="Times New Roman"/>
              </w:rPr>
              <w:t>⑤征拆工地100%湿法作业。土石方、拆除工程作业时应在作业面采取雾炮、喷淋、洒水等降尘措施</w:t>
            </w:r>
            <w:r>
              <w:rPr>
                <w:rFonts w:hint="eastAsia" w:ascii="Times New Roman" w:hAnsi="Times New Roman" w:cs="Times New Roman"/>
              </w:rPr>
              <w:t>；</w:t>
            </w:r>
            <w:r>
              <w:rPr>
                <w:rFonts w:ascii="Times New Roman" w:hAnsi="Times New Roman" w:cs="Times New Roman"/>
              </w:rPr>
              <w:t>遇到5级及以上大风或环境空气质量达到重度污染的天气时，施工现场应停止土石方、拆除作业活动。</w:t>
            </w:r>
          </w:p>
          <w:p>
            <w:pPr>
              <w:widowControl/>
              <w:ind w:firstLine="480" w:firstLineChars="200"/>
              <w:jc w:val="left"/>
              <w:rPr>
                <w:rFonts w:ascii="Times New Roman" w:hAnsi="Times New Roman" w:cs="Times New Roman"/>
              </w:rPr>
            </w:pPr>
            <w:r>
              <w:rPr>
                <w:rFonts w:ascii="Times New Roman" w:hAnsi="Times New Roman" w:cs="Times New Roman"/>
              </w:rPr>
              <w:t>⑥场地平整、土石方施工工地采用洒水、碾压、覆盖、绿化、硬化相结合的扬尘防治措施。土方开挖、装运施工时应采取洒水、喷淋等降尘措施，土方开挖形成的基坑及边坡裸露土面应及时进行支护和表面喷浆固化处理，未能及时固化的，须采取喷淋和用防尘网进行覆盖。临时道路应及时清扫，采取洒水、喷淋、碾压等降尘措施，确保临时道路不扬尘。非开挖作业面裸土场地裸露时间超过48小时的，应采用防尘网进行覆盖或绿化。</w:t>
            </w:r>
          </w:p>
          <w:p>
            <w:pPr>
              <w:widowControl/>
              <w:ind w:firstLine="480" w:firstLineChars="200"/>
              <w:jc w:val="left"/>
              <w:rPr>
                <w:rFonts w:ascii="Times New Roman" w:hAnsi="Times New Roman" w:cs="Times New Roman"/>
              </w:rPr>
            </w:pPr>
            <w:r>
              <w:rPr>
                <w:rFonts w:ascii="Times New Roman" w:hAnsi="Times New Roman" w:cs="Times New Roman"/>
              </w:rPr>
              <w:t>⑦项目土石方开挖应按施工进度要求明确逐步按区域开挖土石方，避免为赶进度盲目施工，造成局部空气质量下降。强化对项目的扬尘管理。强化取土开挖平整时和其他施工建设期内必须遮盖裸露土地、喷水、建围挡、车辆过水槽等扬尘防治措施。</w:t>
            </w:r>
          </w:p>
          <w:p>
            <w:pPr>
              <w:widowControl/>
              <w:ind w:firstLine="480" w:firstLineChars="200"/>
              <w:jc w:val="left"/>
              <w:rPr>
                <w:rFonts w:ascii="Times New Roman" w:hAnsi="Times New Roman" w:cs="Times New Roman"/>
              </w:rPr>
            </w:pPr>
            <w:r>
              <w:rPr>
                <w:rFonts w:ascii="Times New Roman" w:hAnsi="Times New Roman" w:cs="Times New Roman"/>
              </w:rPr>
              <w:t>⑧对一般易产生扬尘的施工道路以及硬化的地面每日六次进行撒水降尘，且撒水必须覆盖每个有尘土的地方；施工现场施工、开挖土方、回填部位施工重点部位对重点部位的防尘工作采取以下措施进行防范，施工道路进行不定期的酒水，洒水不宜过多，避免积水泥泞；施工现场土方及裸露土地保证做到到无扬尘，对于施工已经清理完成未安装窗户的楼层，大风天气必须进行全面的酒水，以免刮风时尘土飞扬。四级以上大风（包含四级）禁止进行土方作业：对于空气重污染达到预警级别时，按照相应的空气重污染预警的相关要求采取相应的控制措施，严格落实《关于进一步加强建设工地扬尘污染防治工作的通知》（岳建质安监发〔2018〕18号）。</w:t>
            </w:r>
          </w:p>
          <w:p>
            <w:pPr>
              <w:widowControl/>
              <w:ind w:firstLine="480" w:firstLineChars="200"/>
              <w:jc w:val="left"/>
              <w:rPr>
                <w:rFonts w:ascii="Times New Roman" w:hAnsi="Times New Roman" w:cs="Times New Roman"/>
              </w:rPr>
            </w:pPr>
            <w:r>
              <w:rPr>
                <w:rFonts w:ascii="Times New Roman" w:hAnsi="Times New Roman" w:cs="Times New Roman"/>
              </w:rPr>
              <w:t>⑨施工结束时，应及时对施工占用场恢复地面道路及植被。</w:t>
            </w:r>
          </w:p>
          <w:p>
            <w:pPr>
              <w:widowControl/>
              <w:ind w:firstLine="480" w:firstLineChars="200"/>
              <w:jc w:val="left"/>
              <w:rPr>
                <w:rFonts w:ascii="Times New Roman" w:hAnsi="Times New Roman" w:cs="Times New Roman"/>
              </w:rPr>
            </w:pPr>
            <w:r>
              <w:rPr>
                <w:rFonts w:ascii="Times New Roman" w:hAnsi="Times New Roman" w:cs="Times New Roman"/>
              </w:rPr>
              <w:t>根据现场勘察，项目周边20~50m范围内无居民、学校等敏感目标，现有最近的居民点位项目</w:t>
            </w:r>
            <w:r>
              <w:rPr>
                <w:rFonts w:hint="eastAsia" w:ascii="Times New Roman" w:hAnsi="Times New Roman" w:cs="Times New Roman"/>
              </w:rPr>
              <w:t>东南</w:t>
            </w:r>
            <w:r>
              <w:rPr>
                <w:rFonts w:ascii="Times New Roman" w:hAnsi="Times New Roman" w:cs="Times New Roman"/>
              </w:rPr>
              <w:t>侧</w:t>
            </w:r>
            <w:r>
              <w:rPr>
                <w:rFonts w:hint="eastAsia" w:ascii="Times New Roman" w:hAnsi="Times New Roman" w:cs="Times New Roman"/>
              </w:rPr>
              <w:t>木里港居民小区</w:t>
            </w:r>
            <w:r>
              <w:rPr>
                <w:rFonts w:ascii="Times New Roman" w:hAnsi="Times New Roman" w:cs="Times New Roman"/>
              </w:rPr>
              <w:t xml:space="preserve">，最近距离为236m。因此在做好以上环保措施后，项目施工扬尘可得好有效控制，不会对周边居民及环境空气产生较大影响。 </w:t>
            </w:r>
          </w:p>
          <w:p>
            <w:pPr>
              <w:widowControl/>
              <w:ind w:firstLine="480" w:firstLineChars="200"/>
              <w:jc w:val="left"/>
              <w:rPr>
                <w:rFonts w:ascii="Times New Roman" w:hAnsi="Times New Roman" w:cs="Times New Roman"/>
                <w:szCs w:val="24"/>
              </w:rPr>
            </w:pPr>
            <w:r>
              <w:rPr>
                <w:rFonts w:ascii="Times New Roman" w:hAnsi="Times New Roman" w:eastAsia="宋体" w:cs="Times New Roman"/>
                <w:color w:val="000000"/>
                <w:kern w:val="0"/>
                <w:szCs w:val="24"/>
                <w:lang w:bidi="ar"/>
              </w:rPr>
              <w:t>（2）装修废气</w:t>
            </w:r>
          </w:p>
          <w:p>
            <w:pPr>
              <w:widowControl/>
              <w:ind w:firstLine="480" w:firstLineChars="200"/>
              <w:jc w:val="left"/>
              <w:rPr>
                <w:rFonts w:ascii="Times New Roman" w:hAnsi="Times New Roman" w:cs="Times New Roman"/>
                <w:szCs w:val="24"/>
              </w:rPr>
            </w:pPr>
            <w:r>
              <w:rPr>
                <w:rFonts w:ascii="Times New Roman" w:hAnsi="Times New Roman" w:eastAsia="宋体" w:cs="Times New Roman"/>
                <w:color w:val="000000"/>
                <w:kern w:val="0"/>
                <w:szCs w:val="24"/>
                <w:lang w:bidi="ar"/>
              </w:rPr>
              <w:t>施工期建筑内部装修、篮球场等运动场地面涂装，使用油漆等涂料，施工过程会产生有机废气。建设单位使用符合产品质量标准要求的涂料进行施工，其涂料挥发产生的有机废气经大气扩散不会对周围大气环境产生较大影响。</w:t>
            </w:r>
          </w:p>
          <w:p>
            <w:pPr>
              <w:widowControl/>
              <w:ind w:firstLine="480" w:firstLineChars="200"/>
              <w:jc w:val="left"/>
              <w:rPr>
                <w:rFonts w:ascii="Times New Roman" w:hAnsi="Times New Roman" w:cs="Times New Roman"/>
                <w:szCs w:val="24"/>
              </w:rPr>
            </w:pPr>
            <w:r>
              <w:rPr>
                <w:rFonts w:ascii="Times New Roman" w:hAnsi="Times New Roman" w:eastAsia="宋体" w:cs="Times New Roman"/>
                <w:color w:val="000000"/>
                <w:kern w:val="0"/>
                <w:szCs w:val="24"/>
                <w:lang w:bidi="ar"/>
              </w:rPr>
              <w:t xml:space="preserve">（3）汽车尾气 </w:t>
            </w:r>
          </w:p>
          <w:p>
            <w:pPr>
              <w:widowControl/>
              <w:ind w:firstLine="480" w:firstLineChars="200"/>
              <w:jc w:val="left"/>
              <w:rPr>
                <w:rFonts w:ascii="Times New Roman" w:hAnsi="Times New Roman" w:cs="Times New Roman"/>
                <w:szCs w:val="24"/>
              </w:rPr>
            </w:pPr>
            <w:r>
              <w:rPr>
                <w:rFonts w:ascii="Times New Roman" w:hAnsi="Times New Roman" w:eastAsia="宋体" w:cs="Times New Roman"/>
                <w:color w:val="000000"/>
                <w:kern w:val="0"/>
                <w:szCs w:val="24"/>
                <w:lang w:bidi="ar"/>
              </w:rPr>
              <w:t>项目建设施工中施工机械运行产生的废气、运输车辆运输产生的尾气均由柴油和</w:t>
            </w:r>
            <w:r>
              <w:rPr>
                <w:rFonts w:hint="eastAsia" w:ascii="Times New Roman" w:hAnsi="Times New Roman" w:eastAsia="宋体" w:cs="Times New Roman"/>
                <w:color w:val="000000"/>
                <w:kern w:val="0"/>
                <w:szCs w:val="24"/>
                <w:lang w:bidi="ar"/>
              </w:rPr>
              <w:t>汽</w:t>
            </w:r>
            <w:r>
              <w:rPr>
                <w:rFonts w:ascii="Times New Roman" w:hAnsi="Times New Roman" w:eastAsia="宋体" w:cs="Times New Roman"/>
                <w:color w:val="000000"/>
                <w:kern w:val="0"/>
                <w:szCs w:val="24"/>
                <w:lang w:bidi="ar"/>
              </w:rPr>
              <w:t>油燃烧后所产生，这类污染源较分散且流动性大，污染物排放量小，为间歇性排放，其主要污染成份是THC、CO和NOx，经扩散和植被吸收后，对区域环境空气质量影响较小。同时汽车以及机械制造均有国标把控，使用符合国家标准的相关机械设备，因此该部分废气对环境影响较小。</w:t>
            </w:r>
          </w:p>
          <w:p>
            <w:pPr>
              <w:pStyle w:val="6"/>
              <w:ind w:firstLine="482"/>
              <w:outlineLvl w:val="2"/>
            </w:pPr>
            <w:bookmarkStart w:id="66" w:name="_Toc34059538"/>
            <w:r>
              <w:rPr>
                <w:rFonts w:hint="eastAsia" w:eastAsia="宋体" w:cs="Times New Roman"/>
                <w:color w:val="000000"/>
                <w:kern w:val="0"/>
                <w:szCs w:val="24"/>
                <w:lang w:bidi="ar"/>
              </w:rPr>
              <w:t>1.2</w:t>
            </w:r>
            <w:r>
              <w:rPr>
                <w:rFonts w:hint="eastAsia" w:ascii="宋体" w:hAnsi="宋体" w:eastAsia="宋体" w:cs="宋体"/>
                <w:color w:val="000000"/>
                <w:kern w:val="0"/>
                <w:szCs w:val="24"/>
                <w:lang w:bidi="ar"/>
              </w:rPr>
              <w:t>施工废水</w:t>
            </w:r>
            <w:r>
              <w:rPr>
                <w:rFonts w:cs="Times New Roman"/>
                <w:bCs/>
                <w:szCs w:val="24"/>
              </w:rPr>
              <w:t>污染防治措施及影响分析</w:t>
            </w:r>
            <w:bookmarkEnd w:id="66"/>
          </w:p>
          <w:p>
            <w:pPr>
              <w:widowControl/>
              <w:ind w:firstLine="480" w:firstLineChars="200"/>
              <w:jc w:val="left"/>
              <w:rPr>
                <w:rFonts w:ascii="宋体" w:hAnsi="宋体" w:eastAsia="宋体" w:cs="宋体"/>
                <w:color w:val="000000"/>
                <w:kern w:val="0"/>
                <w:szCs w:val="24"/>
                <w:lang w:bidi="ar"/>
              </w:rPr>
            </w:pPr>
            <w:r>
              <w:rPr>
                <w:rFonts w:hint="eastAsia" w:ascii="宋体" w:hAnsi="宋体" w:eastAsia="宋体" w:cs="宋体"/>
                <w:color w:val="000000"/>
                <w:kern w:val="0"/>
                <w:szCs w:val="24"/>
                <w:lang w:bidi="ar"/>
              </w:rPr>
              <w:t>项目施工期产生的废水主要是建筑施工废水和生活污水。</w:t>
            </w:r>
            <w:r>
              <w:rPr>
                <w:rFonts w:ascii="Times New Roman" w:hAnsi="Times New Roman" w:eastAsia="宋体" w:cs="Times New Roman"/>
                <w:color w:val="0C0C0C"/>
                <w:szCs w:val="24"/>
              </w:rPr>
              <w:t>主要污染因子为COD</w:t>
            </w:r>
            <w:r>
              <w:rPr>
                <w:rFonts w:ascii="Times New Roman" w:hAnsi="Times New Roman" w:eastAsia="宋体" w:cs="Times New Roman"/>
                <w:color w:val="0C0C0C"/>
                <w:szCs w:val="24"/>
                <w:vertAlign w:val="subscript"/>
              </w:rPr>
              <w:t>Cr</w:t>
            </w:r>
            <w:r>
              <w:rPr>
                <w:rFonts w:ascii="Times New Roman" w:hAnsi="Times New Roman" w:eastAsia="宋体" w:cs="Times New Roman"/>
                <w:color w:val="0C0C0C"/>
                <w:szCs w:val="24"/>
              </w:rPr>
              <w:t>、BOD</w:t>
            </w:r>
            <w:r>
              <w:rPr>
                <w:rFonts w:ascii="Times New Roman" w:hAnsi="Times New Roman" w:eastAsia="宋体" w:cs="Times New Roman"/>
                <w:color w:val="0C0C0C"/>
                <w:szCs w:val="24"/>
                <w:vertAlign w:val="subscript"/>
              </w:rPr>
              <w:t>5</w:t>
            </w:r>
            <w:r>
              <w:rPr>
                <w:rFonts w:ascii="Times New Roman" w:hAnsi="Times New Roman" w:eastAsia="宋体" w:cs="Times New Roman"/>
                <w:color w:val="0C0C0C"/>
                <w:szCs w:val="24"/>
              </w:rPr>
              <w:t>和SS等</w:t>
            </w:r>
            <w:r>
              <w:rPr>
                <w:rFonts w:hint="eastAsia" w:ascii="Times New Roman" w:hAnsi="Times New Roman" w:eastAsia="宋体" w:cs="Times New Roman"/>
                <w:color w:val="0C0C0C"/>
                <w:szCs w:val="24"/>
              </w:rPr>
              <w:t>，产生量分别为1</w:t>
            </w:r>
            <w:r>
              <w:rPr>
                <w:rFonts w:ascii="Times New Roman" w:hAnsi="Times New Roman" w:eastAsia="宋体" w:cs="Times New Roman"/>
                <w:color w:val="0C0C0C"/>
                <w:szCs w:val="24"/>
              </w:rPr>
              <w:t>00m</w:t>
            </w:r>
            <w:r>
              <w:rPr>
                <w:rFonts w:ascii="Times New Roman" w:hAnsi="Times New Roman" w:eastAsia="宋体" w:cs="Times New Roman"/>
                <w:color w:val="0C0C0C"/>
                <w:szCs w:val="24"/>
                <w:vertAlign w:val="superscript"/>
              </w:rPr>
              <w:t>3</w:t>
            </w:r>
            <w:r>
              <w:rPr>
                <w:rFonts w:ascii="Times New Roman" w:hAnsi="Times New Roman" w:eastAsia="宋体" w:cs="Times New Roman"/>
                <w:color w:val="0C0C0C"/>
                <w:szCs w:val="24"/>
              </w:rPr>
              <w:t>/d</w:t>
            </w:r>
            <w:r>
              <w:rPr>
                <w:rFonts w:hint="eastAsia" w:ascii="Times New Roman" w:hAnsi="Times New Roman" w:eastAsia="宋体" w:cs="Times New Roman"/>
                <w:color w:val="0C0C0C"/>
                <w:szCs w:val="24"/>
              </w:rPr>
              <w:t>，和2</w:t>
            </w:r>
            <w:r>
              <w:rPr>
                <w:rFonts w:ascii="Times New Roman" w:hAnsi="Times New Roman" w:eastAsia="宋体" w:cs="Times New Roman"/>
                <w:color w:val="0C0C0C"/>
                <w:szCs w:val="24"/>
              </w:rPr>
              <w:t>8m</w:t>
            </w:r>
            <w:r>
              <w:rPr>
                <w:rFonts w:ascii="Times New Roman" w:hAnsi="Times New Roman" w:eastAsia="宋体" w:cs="Times New Roman"/>
                <w:color w:val="0C0C0C"/>
                <w:szCs w:val="24"/>
                <w:vertAlign w:val="superscript"/>
              </w:rPr>
              <w:t>3</w:t>
            </w:r>
            <w:r>
              <w:rPr>
                <w:rFonts w:ascii="Times New Roman" w:hAnsi="Times New Roman" w:eastAsia="宋体" w:cs="Times New Roman"/>
                <w:color w:val="0C0C0C"/>
                <w:szCs w:val="24"/>
              </w:rPr>
              <w:t>/d</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项目建设场在降雨时可能造成水土流失，特别是暴雨径流时水土流失更明显，可能引起下水道的堵塞或造成地表水中悬浮物的增加，应引起重视。</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为减小施工废水、雨季施工期地表径流低洼渍水及水土流失对区域地表水环境和周边居民的影响，采取如下防治措施：</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工地应设置临时简易化粪池，</w:t>
            </w:r>
            <w:r>
              <w:rPr>
                <w:rFonts w:hint="eastAsia" w:ascii="Times New Roman" w:hAnsi="Times New Roman" w:eastAsia="宋体" w:cs="Times New Roman"/>
                <w:color w:val="000000"/>
                <w:kern w:val="0"/>
                <w:szCs w:val="24"/>
                <w:lang w:bidi="ar"/>
              </w:rPr>
              <w:t>经化粪池处理后用于农田施肥</w:t>
            </w:r>
            <w:r>
              <w:rPr>
                <w:rFonts w:ascii="Times New Roman" w:hAnsi="Times New Roman" w:eastAsia="宋体" w:cs="Times New Roman"/>
                <w:color w:val="000000"/>
                <w:kern w:val="0"/>
                <w:szCs w:val="24"/>
                <w:lang w:bidi="ar"/>
              </w:rPr>
              <w:t>。</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合理选择施工期，尽量避免雨季开工。合理安排施工程序，挖填方配套作业，分区分片或分栋施工；施工完成后不得闲置土地，应尽快建设水土保持设施或进行环境绿化。在工地四周设截水沟，防止下雨时裸露的泥土随雨水流进入市政管网，造成管网堵塞，泥沙淤积。</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（3）运输、施工机械临时检修所产生的油污应集中处理，擦有油污的固体废物不得随意乱扔，集中收集后送有资质单位处理，以免污染水体。</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（4）施工场地修建有临时隔油沉淀池，车辆冲洗废水经隔油沉淀处理后回用于场地洒水、抑尘。</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（5）项目砼浇筑废水、基坑废水设置三级沉淀池充分沉淀后回用于场地洒水、抑尘。</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（6）</w:t>
            </w:r>
            <w:r>
              <w:rPr>
                <w:rFonts w:ascii="Times New Roman" w:hAnsi="Times New Roman" w:eastAsia="宋体" w:cs="Times New Roman"/>
                <w:color w:val="000000"/>
                <w:kern w:val="0"/>
                <w:szCs w:val="24"/>
                <w:lang w:bidi="ar"/>
              </w:rPr>
              <w:t>雨季径流主要为雨季降水冲涮施工场地产生，所含污染物主要为SS和微量石油类，其中SS浓度为200～500 mg/L左右。项目内需设置雨水沉淀池，雨季径流经收集沉淀后，一部分回用于项目施工及养护，一部分</w:t>
            </w:r>
            <w:r>
              <w:rPr>
                <w:rFonts w:hint="eastAsia" w:ascii="Times New Roman" w:hAnsi="Times New Roman" w:eastAsia="宋体" w:cs="Times New Roman"/>
                <w:color w:val="000000"/>
                <w:kern w:val="0"/>
                <w:szCs w:val="24"/>
                <w:lang w:bidi="ar"/>
              </w:rPr>
              <w:t>流入项目北侧的小溪</w:t>
            </w:r>
            <w:r>
              <w:rPr>
                <w:rFonts w:ascii="Times New Roman" w:hAnsi="Times New Roman" w:eastAsia="宋体" w:cs="Times New Roman"/>
                <w:color w:val="000000"/>
                <w:kern w:val="0"/>
                <w:szCs w:val="24"/>
                <w:lang w:bidi="ar"/>
              </w:rPr>
              <w:t>。项目拟建地雨水通过周边道路设施的下水道外排，排放口主要沿低洼处设置。</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7</w:t>
            </w:r>
            <w:r>
              <w:rPr>
                <w:rFonts w:ascii="Times New Roman" w:hAnsi="Times New Roman" w:eastAsia="宋体" w:cs="Times New Roman"/>
                <w:color w:val="000000"/>
                <w:kern w:val="0"/>
                <w:szCs w:val="24"/>
                <w:lang w:bidi="ar"/>
              </w:rPr>
              <w:t>）基建完工后，及时恢复区域绿化和场地硬化，杜绝土壤裸露和水土流失。</w:t>
            </w:r>
          </w:p>
          <w:p>
            <w:pPr>
              <w:widowControl/>
              <w:ind w:firstLine="480" w:firstLineChars="200"/>
              <w:jc w:val="left"/>
              <w:rPr>
                <w:rFonts w:ascii="Times New Roman" w:hAnsi="Times New Roman" w:eastAsia="宋体" w:cs="Times New Roman"/>
                <w:bCs/>
                <w:szCs w:val="24"/>
              </w:rPr>
            </w:pPr>
            <w:r>
              <w:rPr>
                <w:rFonts w:ascii="Times New Roman" w:hAnsi="Times New Roman" w:eastAsia="宋体" w:cs="Times New Roman"/>
                <w:color w:val="000000"/>
                <w:kern w:val="0"/>
                <w:szCs w:val="24"/>
                <w:lang w:bidi="ar"/>
              </w:rPr>
              <w:t>经以上措施处理后的施工废水和施工生活污水能够达到标准要求，措施可行，施工期间废水不能未处理直接排放，项目施工期废水对周围地表水环境和周边居民基本无影响。</w:t>
            </w:r>
          </w:p>
          <w:p>
            <w:pPr>
              <w:pStyle w:val="6"/>
              <w:ind w:firstLine="482"/>
              <w:outlineLvl w:val="2"/>
            </w:pPr>
            <w:bookmarkStart w:id="67" w:name="_Toc34059539"/>
            <w:r>
              <w:rPr>
                <w:rFonts w:hint="eastAsia"/>
              </w:rPr>
              <w:t>1.3噪声污染防治措施及影响分析</w:t>
            </w:r>
            <w:bookmarkEnd w:id="67"/>
          </w:p>
          <w:p>
            <w:pPr>
              <w:widowControl/>
              <w:ind w:firstLine="480" w:firstLineChars="200"/>
              <w:jc w:val="left"/>
              <w:rPr>
                <w:rFonts w:ascii="Times New Roman" w:hAnsi="Times New Roman" w:cs="Times New Roman"/>
                <w:szCs w:val="24"/>
              </w:rPr>
            </w:pPr>
            <w:r>
              <w:rPr>
                <w:rFonts w:ascii="Times New Roman" w:hAnsi="Times New Roman" w:cs="Times New Roman"/>
                <w:szCs w:val="24"/>
              </w:rPr>
              <w:t>噪声主要来自建筑施工、装修过程。施工期的噪声设备主要有挖掘机、铲土机、卡车、搅拌机、振捣机、打桩机、起重机、电锯和压路机等，其噪声源强在87～105dB(A)</w:t>
            </w:r>
            <w:r>
              <w:rPr>
                <w:rFonts w:hint="eastAsia" w:ascii="Times New Roman" w:hAnsi="Times New Roman" w:cs="Times New Roman"/>
                <w:szCs w:val="24"/>
              </w:rPr>
              <w:t>之间，各类施工机械在不同距离处的噪声预测值见表7-</w:t>
            </w:r>
            <w:r>
              <w:rPr>
                <w:rFonts w:ascii="Times New Roman" w:hAnsi="Times New Roman" w:cs="Times New Roman"/>
                <w:szCs w:val="24"/>
              </w:rPr>
              <w:t>2</w:t>
            </w:r>
            <w:r>
              <w:rPr>
                <w:rFonts w:hint="eastAsia" w:ascii="Times New Roman" w:hAnsi="Times New Roman" w:cs="Times New Roman"/>
                <w:szCs w:val="24"/>
              </w:rPr>
              <w:t>。</w:t>
            </w:r>
          </w:p>
          <w:p>
            <w:pPr>
              <w:widowControl/>
              <w:jc w:val="center"/>
              <w:rPr>
                <w:rFonts w:ascii="Times New Roman" w:hAnsi="Times New Roman" w:eastAsia="宋体" w:cs="Times New Roman"/>
                <w:b/>
                <w:bCs/>
                <w:color w:val="000000"/>
                <w:kern w:val="0"/>
                <w:szCs w:val="24"/>
                <w:lang w:bidi="ar"/>
              </w:rPr>
            </w:pPr>
            <w:r>
              <w:rPr>
                <w:rFonts w:hint="eastAsia" w:ascii="Times New Roman" w:hAnsi="Times New Roman" w:eastAsia="宋体" w:cs="Times New Roman"/>
                <w:b/>
                <w:bCs/>
                <w:color w:val="000000"/>
                <w:kern w:val="0"/>
                <w:szCs w:val="24"/>
                <w:lang w:bidi="ar"/>
              </w:rPr>
              <w:t>表7-2</w:t>
            </w:r>
            <w:r>
              <w:rPr>
                <w:rFonts w:ascii="Times New Roman" w:hAnsi="Times New Roman" w:eastAsia="宋体" w:cs="Times New Roman"/>
                <w:b/>
                <w:bCs/>
                <w:color w:val="000000"/>
                <w:kern w:val="0"/>
                <w:szCs w:val="24"/>
                <w:lang w:bidi="ar"/>
              </w:rPr>
              <w:t xml:space="preserve">  </w:t>
            </w:r>
            <w:r>
              <w:rPr>
                <w:rFonts w:hint="eastAsia" w:ascii="Times New Roman" w:hAnsi="Times New Roman" w:eastAsia="宋体" w:cs="Times New Roman"/>
                <w:b/>
                <w:bCs/>
                <w:color w:val="000000"/>
                <w:kern w:val="0"/>
                <w:szCs w:val="24"/>
                <w:lang w:bidi="ar"/>
              </w:rPr>
              <w:t xml:space="preserve">各设备噪声预测值一览表 </w:t>
            </w:r>
            <w:r>
              <w:rPr>
                <w:rFonts w:ascii="Times New Roman" w:hAnsi="Times New Roman" w:eastAsia="宋体" w:cs="Times New Roman"/>
                <w:b/>
                <w:bCs/>
                <w:color w:val="000000"/>
                <w:kern w:val="0"/>
                <w:szCs w:val="24"/>
                <w:lang w:bidi="ar"/>
              </w:rPr>
              <w:t xml:space="preserve">          </w:t>
            </w:r>
            <w:r>
              <w:rPr>
                <w:rFonts w:hint="eastAsia" w:ascii="Times New Roman" w:hAnsi="Times New Roman" w:eastAsia="宋体" w:cs="Times New Roman"/>
                <w:b/>
                <w:bCs/>
                <w:color w:val="000000"/>
                <w:kern w:val="0"/>
                <w:szCs w:val="24"/>
                <w:lang w:bidi="ar"/>
              </w:rPr>
              <w:t>单位：</w:t>
            </w:r>
            <w:r>
              <w:rPr>
                <w:rFonts w:ascii="Times New Roman" w:hAnsi="Times New Roman" w:cs="Times New Roman"/>
                <w:szCs w:val="24"/>
              </w:rPr>
              <w:t>dB(A)</w:t>
            </w:r>
          </w:p>
          <w:tbl>
            <w:tblPr>
              <w:tblStyle w:val="23"/>
              <w:tblW w:w="0" w:type="auto"/>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1261"/>
              <w:gridCol w:w="1953"/>
              <w:gridCol w:w="9"/>
              <w:gridCol w:w="1945"/>
              <w:gridCol w:w="1951"/>
              <w:gridCol w:w="10"/>
              <w:gridCol w:w="1941"/>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vMerge w:val="restart"/>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名称</w:t>
                  </w:r>
                </w:p>
              </w:tc>
              <w:tc>
                <w:tcPr>
                  <w:tcW w:w="1953" w:type="dxa"/>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距离声源10m</w:t>
                  </w:r>
                </w:p>
              </w:tc>
              <w:tc>
                <w:tcPr>
                  <w:tcW w:w="1954" w:type="dxa"/>
                  <w:gridSpan w:val="2"/>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w:t>
                  </w:r>
                  <w:r>
                    <w:rPr>
                      <w:rFonts w:hint="eastAsia" w:ascii="Times New Roman" w:hAnsi="Times New Roman" w:cs="Times New Roman"/>
                      <w:b/>
                      <w:bCs/>
                      <w:sz w:val="21"/>
                      <w:szCs w:val="21"/>
                    </w:rPr>
                    <w:t>3</w:t>
                  </w:r>
                  <w:r>
                    <w:rPr>
                      <w:rFonts w:ascii="Times New Roman" w:hAnsi="Times New Roman" w:cs="Times New Roman"/>
                      <w:b/>
                      <w:bCs/>
                      <w:sz w:val="21"/>
                      <w:szCs w:val="21"/>
                    </w:rPr>
                    <w:t>0m</w:t>
                  </w:r>
                </w:p>
              </w:tc>
              <w:tc>
                <w:tcPr>
                  <w:tcW w:w="1951" w:type="dxa"/>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w:t>
                  </w:r>
                  <w:r>
                    <w:rPr>
                      <w:rFonts w:hint="eastAsia" w:ascii="Times New Roman" w:hAnsi="Times New Roman" w:cs="Times New Roman"/>
                      <w:b/>
                      <w:bCs/>
                      <w:sz w:val="21"/>
                      <w:szCs w:val="21"/>
                    </w:rPr>
                    <w:t>50</w:t>
                  </w:r>
                  <w:r>
                    <w:rPr>
                      <w:rFonts w:ascii="Times New Roman" w:hAnsi="Times New Roman" w:cs="Times New Roman"/>
                      <w:b/>
                      <w:bCs/>
                      <w:sz w:val="21"/>
                      <w:szCs w:val="21"/>
                    </w:rPr>
                    <w:t>m</w:t>
                  </w:r>
                </w:p>
              </w:tc>
              <w:tc>
                <w:tcPr>
                  <w:tcW w:w="1951" w:type="dxa"/>
                  <w:gridSpan w:val="2"/>
                  <w:tcBorders>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距离声源1</w:t>
                  </w:r>
                  <w:r>
                    <w:rPr>
                      <w:rFonts w:hint="eastAsia" w:ascii="Times New Roman" w:hAnsi="Times New Roman" w:cs="Times New Roman"/>
                      <w:b/>
                      <w:bCs/>
                      <w:sz w:val="21"/>
                      <w:szCs w:val="21"/>
                    </w:rPr>
                    <w:t>0</w:t>
                  </w:r>
                  <w:r>
                    <w:rPr>
                      <w:rFonts w:ascii="Times New Roman" w:hAnsi="Times New Roman" w:cs="Times New Roman"/>
                      <w:b/>
                      <w:bCs/>
                      <w:sz w:val="21"/>
                      <w:szCs w:val="21"/>
                    </w:rPr>
                    <w:t>0m</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vMerge w:val="continue"/>
                  <w:tcBorders>
                    <w:bottom w:val="single" w:color="000000" w:sz="12" w:space="0"/>
                    <w:tl2br w:val="nil"/>
                    <w:tr2bl w:val="nil"/>
                  </w:tcBorders>
                  <w:vAlign w:val="center"/>
                </w:tcPr>
                <w:p>
                  <w:pPr>
                    <w:spacing w:line="240" w:lineRule="auto"/>
                    <w:rPr>
                      <w:rFonts w:ascii="Times New Roman" w:hAnsi="Times New Roman" w:cs="Times New Roman"/>
                      <w:b/>
                      <w:bCs/>
                      <w:sz w:val="21"/>
                      <w:szCs w:val="21"/>
                    </w:rPr>
                  </w:pPr>
                </w:p>
              </w:tc>
              <w:tc>
                <w:tcPr>
                  <w:tcW w:w="1962" w:type="dxa"/>
                  <w:gridSpan w:val="2"/>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平均噪声级</w:t>
                  </w:r>
                </w:p>
              </w:tc>
              <w:tc>
                <w:tcPr>
                  <w:tcW w:w="1945"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平均噪声级</w:t>
                  </w:r>
                </w:p>
              </w:tc>
              <w:tc>
                <w:tcPr>
                  <w:tcW w:w="1961" w:type="dxa"/>
                  <w:gridSpan w:val="2"/>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hint="eastAsia" w:ascii="Times New Roman" w:hAnsi="Times New Roman" w:cs="Times New Roman"/>
                      <w:b/>
                      <w:bCs/>
                      <w:sz w:val="21"/>
                      <w:szCs w:val="21"/>
                    </w:rPr>
                    <w:t>平均噪声级</w:t>
                  </w:r>
                </w:p>
              </w:tc>
              <w:tc>
                <w:tcPr>
                  <w:tcW w:w="1941" w:type="dxa"/>
                  <w:tcBorders>
                    <w:bottom w:val="single" w:color="000000" w:sz="12" w:space="0"/>
                    <w:tl2br w:val="nil"/>
                    <w:tr2bl w:val="nil"/>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平均噪声级</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12" w:hRule="atLeast"/>
                <w:jc w:val="center"/>
              </w:trPr>
              <w:tc>
                <w:tcPr>
                  <w:tcW w:w="1261"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推土机</w:t>
                  </w:r>
                </w:p>
              </w:tc>
              <w:tc>
                <w:tcPr>
                  <w:tcW w:w="1962" w:type="dxa"/>
                  <w:gridSpan w:val="2"/>
                  <w:tcBorders>
                    <w:top w:val="single" w:color="000000"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w:t>
                  </w:r>
                  <w:r>
                    <w:rPr>
                      <w:rFonts w:hint="eastAsia" w:ascii="Times New Roman" w:hAnsi="Times New Roman" w:cs="Times New Roman"/>
                      <w:sz w:val="21"/>
                      <w:szCs w:val="21"/>
                    </w:rPr>
                    <w:t>2</w:t>
                  </w:r>
                </w:p>
              </w:tc>
              <w:tc>
                <w:tcPr>
                  <w:tcW w:w="1945"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56</w:t>
                  </w:r>
                </w:p>
              </w:tc>
              <w:tc>
                <w:tcPr>
                  <w:tcW w:w="1961" w:type="dxa"/>
                  <w:gridSpan w:val="2"/>
                  <w:tcBorders>
                    <w:top w:val="single" w:color="000000"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50</w:t>
                  </w:r>
                </w:p>
              </w:tc>
              <w:tc>
                <w:tcPr>
                  <w:tcW w:w="1941" w:type="dxa"/>
                  <w:tcBorders>
                    <w:top w:val="single" w:color="000000"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42.9</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挖掘机</w:t>
                  </w:r>
                </w:p>
              </w:tc>
              <w:tc>
                <w:tcPr>
                  <w:tcW w:w="196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84</w:t>
                  </w:r>
                </w:p>
              </w:tc>
              <w:tc>
                <w:tcPr>
                  <w:tcW w:w="194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58</w:t>
                  </w:r>
                </w:p>
              </w:tc>
              <w:tc>
                <w:tcPr>
                  <w:tcW w:w="196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52.0</w:t>
                  </w:r>
                </w:p>
              </w:tc>
              <w:tc>
                <w:tcPr>
                  <w:tcW w:w="1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44.9</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装载机</w:t>
                  </w:r>
                </w:p>
              </w:tc>
              <w:tc>
                <w:tcPr>
                  <w:tcW w:w="196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71</w:t>
                  </w:r>
                </w:p>
              </w:tc>
              <w:tc>
                <w:tcPr>
                  <w:tcW w:w="194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45</w:t>
                  </w:r>
                </w:p>
              </w:tc>
              <w:tc>
                <w:tcPr>
                  <w:tcW w:w="196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39</w:t>
                  </w:r>
                </w:p>
              </w:tc>
              <w:tc>
                <w:tcPr>
                  <w:tcW w:w="1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31.9</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打桩机</w:t>
                  </w:r>
                </w:p>
              </w:tc>
              <w:tc>
                <w:tcPr>
                  <w:tcW w:w="196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95</w:t>
                  </w:r>
                </w:p>
              </w:tc>
              <w:tc>
                <w:tcPr>
                  <w:tcW w:w="194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63.0</w:t>
                  </w:r>
                </w:p>
              </w:tc>
              <w:tc>
                <w:tcPr>
                  <w:tcW w:w="196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69.0</w:t>
                  </w:r>
                </w:p>
              </w:tc>
              <w:tc>
                <w:tcPr>
                  <w:tcW w:w="1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55.9</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12" w:hRule="atLeast"/>
                <w:jc w:val="center"/>
              </w:trPr>
              <w:tc>
                <w:tcPr>
                  <w:tcW w:w="12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振捣机</w:t>
                  </w:r>
                </w:p>
              </w:tc>
              <w:tc>
                <w:tcPr>
                  <w:tcW w:w="196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81</w:t>
                  </w:r>
                </w:p>
              </w:tc>
              <w:tc>
                <w:tcPr>
                  <w:tcW w:w="194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55.0</w:t>
                  </w:r>
                </w:p>
              </w:tc>
              <w:tc>
                <w:tcPr>
                  <w:tcW w:w="196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49.0</w:t>
                  </w:r>
                </w:p>
              </w:tc>
              <w:tc>
                <w:tcPr>
                  <w:tcW w:w="1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41.9</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07" w:hRule="atLeast"/>
                <w:jc w:val="center"/>
              </w:trPr>
              <w:tc>
                <w:tcPr>
                  <w:tcW w:w="12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吊车</w:t>
                  </w:r>
                </w:p>
              </w:tc>
              <w:tc>
                <w:tcPr>
                  <w:tcW w:w="1962"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78</w:t>
                  </w:r>
                </w:p>
              </w:tc>
              <w:tc>
                <w:tcPr>
                  <w:tcW w:w="1945"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52</w:t>
                  </w:r>
                </w:p>
              </w:tc>
              <w:tc>
                <w:tcPr>
                  <w:tcW w:w="1961" w:type="dxa"/>
                  <w:gridSpan w:val="2"/>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46</w:t>
                  </w:r>
                </w:p>
              </w:tc>
              <w:tc>
                <w:tcPr>
                  <w:tcW w:w="194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38.9</w:t>
                  </w:r>
                </w:p>
              </w:tc>
            </w:tr>
          </w:tbl>
          <w:p>
            <w:pPr>
              <w:widowControl/>
              <w:ind w:firstLine="480" w:firstLineChars="200"/>
              <w:jc w:val="left"/>
              <w:rPr>
                <w:rFonts w:ascii="Times New Roman" w:hAnsi="Times New Roman" w:cs="Times New Roman"/>
              </w:rPr>
            </w:pPr>
            <w:r>
              <w:rPr>
                <w:rFonts w:ascii="Times New Roman" w:hAnsi="Times New Roman" w:eastAsia="宋体" w:cs="Times New Roman"/>
                <w:color w:val="000000"/>
                <w:kern w:val="0"/>
                <w:szCs w:val="24"/>
                <w:lang w:bidi="ar"/>
              </w:rPr>
              <w:t>根据预测结果，在未采取降噪措施的情况下，项目施工期各施工机械所产生的噪声昼间50m外可达到《建筑施工场界环境噪声排放标准》（GB12523-2011）标准要求。根据项目周边敏感目标分布情况可知，本项目周边主要为在建建筑及荒地，目前在厂界周边50m范围内无居民住宅、学校、医院等敏感建筑。为有效控制施工期噪声对区域声环境影响，本环评建议建设单位采取如下措施：</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fldChar w:fldCharType="begin"/>
            </w:r>
            <w:r>
              <w:rPr>
                <w:rFonts w:hint="eastAsia" w:ascii="Times New Roman" w:hAnsi="Times New Roman" w:eastAsia="宋体" w:cs="Times New Roman"/>
                <w:color w:val="000000"/>
                <w:kern w:val="0"/>
                <w:szCs w:val="24"/>
                <w:u w:val="single"/>
                <w:lang w:bidi="ar"/>
              </w:rPr>
              <w:instrText xml:space="preserve"> = 1 \* GB3 \* MERGEFORMAT </w:instrText>
            </w:r>
            <w:r>
              <w:rPr>
                <w:rFonts w:hint="eastAsia" w:ascii="Times New Roman" w:hAnsi="Times New Roman" w:eastAsia="宋体" w:cs="Times New Roman"/>
                <w:color w:val="000000"/>
                <w:kern w:val="0"/>
                <w:szCs w:val="24"/>
                <w:u w:val="single"/>
                <w:lang w:bidi="ar"/>
              </w:rPr>
              <w:fldChar w:fldCharType="separate"/>
            </w:r>
            <w:r>
              <w:rPr>
                <w:u w:val="single"/>
              </w:rPr>
              <w:t>①</w:t>
            </w:r>
            <w:r>
              <w:rPr>
                <w:rFonts w:hint="eastAsia" w:ascii="Times New Roman" w:hAnsi="Times New Roman" w:eastAsia="宋体" w:cs="Times New Roman"/>
                <w:color w:val="000000"/>
                <w:kern w:val="0"/>
                <w:szCs w:val="24"/>
                <w:u w:val="single"/>
                <w:lang w:bidi="ar"/>
              </w:rPr>
              <w:fldChar w:fldCharType="end"/>
            </w:r>
            <w:r>
              <w:rPr>
                <w:rFonts w:hint="eastAsia" w:ascii="Times New Roman" w:hAnsi="Times New Roman" w:eastAsia="宋体" w:cs="Times New Roman"/>
                <w:color w:val="000000"/>
                <w:kern w:val="0"/>
                <w:szCs w:val="24"/>
                <w:u w:val="single"/>
                <w:lang w:bidi="ar"/>
              </w:rPr>
              <w:t>合理选择施工机械、施工方法，尽量选用效率高、低噪声设备，对高噪声设备安装减震垫、消声器。在施工过程中，应经常对施工设备进行维修保养，避免由于设备性能减退使噪声增大。</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fldChar w:fldCharType="begin"/>
            </w:r>
            <w:r>
              <w:rPr>
                <w:rFonts w:hint="eastAsia" w:ascii="Times New Roman" w:hAnsi="Times New Roman" w:eastAsia="宋体" w:cs="Times New Roman"/>
                <w:color w:val="000000"/>
                <w:kern w:val="0"/>
                <w:szCs w:val="24"/>
                <w:u w:val="single"/>
                <w:lang w:bidi="ar"/>
              </w:rPr>
              <w:instrText xml:space="preserve"> = 2 \* GB3 \* MERGEFORMAT </w:instrText>
            </w:r>
            <w:r>
              <w:rPr>
                <w:rFonts w:hint="eastAsia" w:ascii="Times New Roman" w:hAnsi="Times New Roman" w:eastAsia="宋体" w:cs="Times New Roman"/>
                <w:color w:val="000000"/>
                <w:kern w:val="0"/>
                <w:szCs w:val="24"/>
                <w:u w:val="single"/>
                <w:lang w:bidi="ar"/>
              </w:rPr>
              <w:fldChar w:fldCharType="separate"/>
            </w:r>
            <w:r>
              <w:rPr>
                <w:u w:val="single"/>
              </w:rPr>
              <w:t>②</w:t>
            </w:r>
            <w:r>
              <w:rPr>
                <w:rFonts w:hint="eastAsia" w:ascii="Times New Roman" w:hAnsi="Times New Roman" w:eastAsia="宋体" w:cs="Times New Roman"/>
                <w:color w:val="000000"/>
                <w:kern w:val="0"/>
                <w:szCs w:val="24"/>
                <w:u w:val="single"/>
                <w:lang w:bidi="ar"/>
              </w:rPr>
              <w:fldChar w:fldCharType="end"/>
            </w:r>
            <w:r>
              <w:rPr>
                <w:rFonts w:hint="eastAsia" w:ascii="Times New Roman" w:hAnsi="Times New Roman" w:eastAsia="宋体" w:cs="Times New Roman"/>
                <w:color w:val="000000"/>
                <w:kern w:val="0"/>
                <w:szCs w:val="24"/>
                <w:u w:val="single"/>
                <w:lang w:bidi="ar"/>
              </w:rPr>
              <w:t>合理安排施工时间，将噪声级较大的施工活动尽量安排在白天，禁止夜间（夜间22：00—次日6：00）施工作业。若必须夜间施工，须先向环保部门申报并征得许可。</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fldChar w:fldCharType="begin"/>
            </w:r>
            <w:r>
              <w:rPr>
                <w:rFonts w:hint="eastAsia" w:ascii="Times New Roman" w:hAnsi="Times New Roman" w:eastAsia="宋体" w:cs="Times New Roman"/>
                <w:color w:val="000000"/>
                <w:kern w:val="0"/>
                <w:szCs w:val="24"/>
                <w:u w:val="single"/>
                <w:lang w:bidi="ar"/>
              </w:rPr>
              <w:instrText xml:space="preserve"> = 3 \* GB3 \* MERGEFORMAT </w:instrText>
            </w:r>
            <w:r>
              <w:rPr>
                <w:rFonts w:hint="eastAsia" w:ascii="Times New Roman" w:hAnsi="Times New Roman" w:eastAsia="宋体" w:cs="Times New Roman"/>
                <w:color w:val="000000"/>
                <w:kern w:val="0"/>
                <w:szCs w:val="24"/>
                <w:u w:val="single"/>
                <w:lang w:bidi="ar"/>
              </w:rPr>
              <w:fldChar w:fldCharType="separate"/>
            </w:r>
            <w:r>
              <w:rPr>
                <w:u w:val="single"/>
              </w:rPr>
              <w:t>③</w:t>
            </w:r>
            <w:r>
              <w:rPr>
                <w:rFonts w:hint="eastAsia" w:ascii="Times New Roman" w:hAnsi="Times New Roman" w:eastAsia="宋体" w:cs="Times New Roman"/>
                <w:color w:val="000000"/>
                <w:kern w:val="0"/>
                <w:szCs w:val="24"/>
                <w:u w:val="single"/>
                <w:lang w:bidi="ar"/>
              </w:rPr>
              <w:fldChar w:fldCharType="end"/>
            </w:r>
            <w:r>
              <w:rPr>
                <w:rFonts w:hint="eastAsia" w:ascii="Times New Roman" w:hAnsi="Times New Roman" w:eastAsia="宋体" w:cs="Times New Roman"/>
                <w:color w:val="000000"/>
                <w:kern w:val="0"/>
                <w:szCs w:val="24"/>
                <w:u w:val="single"/>
                <w:lang w:bidi="ar"/>
              </w:rPr>
              <w:t>严格控制各施工机械的施工时间，应尽量避免高噪声设备同时施工。对位置相对固定的机械设备，能入棚内操作的尽量进入操作间。</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fldChar w:fldCharType="begin"/>
            </w:r>
            <w:r>
              <w:rPr>
                <w:rFonts w:hint="eastAsia" w:ascii="Times New Roman" w:hAnsi="Times New Roman" w:eastAsia="宋体" w:cs="Times New Roman"/>
                <w:color w:val="000000"/>
                <w:kern w:val="0"/>
                <w:szCs w:val="24"/>
                <w:u w:val="single"/>
                <w:lang w:bidi="ar"/>
              </w:rPr>
              <w:instrText xml:space="preserve"> = 4 \* GB3 \* MERGEFORMAT </w:instrText>
            </w:r>
            <w:r>
              <w:rPr>
                <w:rFonts w:hint="eastAsia" w:ascii="Times New Roman" w:hAnsi="Times New Roman" w:eastAsia="宋体" w:cs="Times New Roman"/>
                <w:color w:val="000000"/>
                <w:kern w:val="0"/>
                <w:szCs w:val="24"/>
                <w:u w:val="single"/>
                <w:lang w:bidi="ar"/>
              </w:rPr>
              <w:fldChar w:fldCharType="separate"/>
            </w:r>
            <w:r>
              <w:rPr>
                <w:u w:val="single"/>
              </w:rPr>
              <w:t>④</w:t>
            </w:r>
            <w:r>
              <w:rPr>
                <w:rFonts w:hint="eastAsia" w:ascii="Times New Roman" w:hAnsi="Times New Roman" w:eastAsia="宋体" w:cs="Times New Roman"/>
                <w:color w:val="000000"/>
                <w:kern w:val="0"/>
                <w:szCs w:val="24"/>
                <w:u w:val="single"/>
                <w:lang w:bidi="ar"/>
              </w:rPr>
              <w:fldChar w:fldCharType="end"/>
            </w:r>
            <w:r>
              <w:rPr>
                <w:rFonts w:hint="eastAsia" w:ascii="Times New Roman" w:hAnsi="Times New Roman" w:eastAsia="宋体" w:cs="Times New Roman"/>
                <w:color w:val="000000"/>
                <w:kern w:val="0"/>
                <w:szCs w:val="24"/>
                <w:u w:val="single"/>
                <w:lang w:bidi="ar"/>
              </w:rPr>
              <w:t>物料运输车辆采取减速缓行、禁止鸣笛等措施，以减小运输车辆噪声对道路两侧居民的影响。</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fldChar w:fldCharType="begin"/>
            </w:r>
            <w:r>
              <w:rPr>
                <w:rFonts w:hint="eastAsia" w:ascii="Times New Roman" w:hAnsi="Times New Roman" w:eastAsia="宋体" w:cs="Times New Roman"/>
                <w:color w:val="000000"/>
                <w:kern w:val="0"/>
                <w:szCs w:val="24"/>
                <w:u w:val="single"/>
                <w:lang w:bidi="ar"/>
              </w:rPr>
              <w:instrText xml:space="preserve"> = 5 \* GB3 \* MERGEFORMAT </w:instrText>
            </w:r>
            <w:r>
              <w:rPr>
                <w:rFonts w:hint="eastAsia" w:ascii="Times New Roman" w:hAnsi="Times New Roman" w:eastAsia="宋体" w:cs="Times New Roman"/>
                <w:color w:val="000000"/>
                <w:kern w:val="0"/>
                <w:szCs w:val="24"/>
                <w:u w:val="single"/>
                <w:lang w:bidi="ar"/>
              </w:rPr>
              <w:fldChar w:fldCharType="separate"/>
            </w:r>
            <w:r>
              <w:rPr>
                <w:u w:val="single"/>
              </w:rPr>
              <w:t>⑤</w:t>
            </w:r>
            <w:r>
              <w:rPr>
                <w:rFonts w:hint="eastAsia" w:ascii="Times New Roman" w:hAnsi="Times New Roman" w:eastAsia="宋体" w:cs="Times New Roman"/>
                <w:color w:val="000000"/>
                <w:kern w:val="0"/>
                <w:szCs w:val="24"/>
                <w:u w:val="single"/>
                <w:lang w:bidi="ar"/>
              </w:rPr>
              <w:fldChar w:fldCharType="end"/>
            </w:r>
            <w:r>
              <w:rPr>
                <w:rFonts w:hint="eastAsia" w:ascii="Times New Roman" w:hAnsi="Times New Roman" w:eastAsia="宋体" w:cs="Times New Roman"/>
                <w:color w:val="000000"/>
                <w:kern w:val="0"/>
                <w:szCs w:val="24"/>
                <w:u w:val="single"/>
                <w:lang w:bidi="ar"/>
              </w:rPr>
              <w:t>项目采用商品混凝土，不在施工现场搅拌，建议不含振动棒等进行现场结构作业时的等工序。严禁禁止高污染工序，对距离居民、学校等敏感目标较近的一侧设置隔声屏障，在中高考期不得作业。</w:t>
            </w:r>
          </w:p>
          <w:p>
            <w:pPr>
              <w:widowControl/>
              <w:ind w:firstLine="480" w:firstLineChars="200"/>
              <w:jc w:val="left"/>
              <w:rPr>
                <w:u w:val="single"/>
              </w:rPr>
            </w:pPr>
            <w:r>
              <w:rPr>
                <w:rFonts w:hint="eastAsia" w:ascii="Times New Roman" w:hAnsi="Times New Roman" w:eastAsia="宋体" w:cs="Times New Roman"/>
                <w:color w:val="000000"/>
                <w:kern w:val="0"/>
                <w:szCs w:val="24"/>
                <w:u w:val="single"/>
                <w:lang w:bidi="ar"/>
              </w:rPr>
              <w:t>采取上述措施后，可大大降低施工噪声对敏感点的影响，且施工期结束后相应的噪声污染即随之消失，不会对周围环境产生长期不良影响。</w:t>
            </w:r>
          </w:p>
          <w:p>
            <w:pPr>
              <w:pStyle w:val="6"/>
              <w:ind w:firstLine="482"/>
              <w:outlineLvl w:val="2"/>
            </w:pPr>
            <w:bookmarkStart w:id="68" w:name="_Toc34059540"/>
            <w:r>
              <w:rPr>
                <w:rFonts w:hint="eastAsia"/>
              </w:rPr>
              <w:t>1.4施工固废污染防治措施及影响分析</w:t>
            </w:r>
            <w:bookmarkEnd w:id="68"/>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在工程施工过程中，产生的固体废物主要是施工人员生活垃圾、施工建筑垃圾。这些固体废物如处理不当，不仅占用土地，造成水土流失，同时也会对环境造成影响。因此，施工建筑垃圾和生活垃圾应妥善处理与处置，能回收的应回收，不能回收的送往指定地点填埋，尽量减少施工垃圾对环境和城市市容的不利影响。</w:t>
            </w:r>
          </w:p>
          <w:p>
            <w:pPr>
              <w:widowControl/>
              <w:ind w:firstLine="480" w:firstLineChars="200"/>
              <w:jc w:val="left"/>
              <w:rPr>
                <w:rFonts w:ascii="Times New Roman" w:hAnsi="Times New Roman" w:eastAsia="宋体" w:cs="Times New Roman"/>
                <w:color w:val="000000"/>
                <w:kern w:val="0"/>
                <w:szCs w:val="24"/>
                <w:u w:val="single"/>
                <w:lang w:bidi="ar"/>
              </w:rPr>
            </w:pPr>
            <w:r>
              <w:rPr>
                <w:rFonts w:hint="eastAsia" w:ascii="Times New Roman" w:hAnsi="Times New Roman" w:eastAsia="宋体" w:cs="Times New Roman"/>
                <w:color w:val="000000"/>
                <w:kern w:val="0"/>
                <w:szCs w:val="24"/>
                <w:u w:val="single"/>
                <w:lang w:bidi="ar"/>
              </w:rPr>
              <w:t>根据工程分析结果，项目施工阶段产生的建筑垃圾产生量约为</w:t>
            </w:r>
            <w:r>
              <w:rPr>
                <w:rFonts w:ascii="Times New Roman" w:hAnsi="Times New Roman" w:eastAsia="宋体" w:cs="Times New Roman"/>
                <w:color w:val="000000"/>
                <w:kern w:val="0"/>
                <w:szCs w:val="24"/>
                <w:u w:val="single"/>
                <w:lang w:bidi="ar"/>
              </w:rPr>
              <w:t>1900.3675t</w:t>
            </w:r>
            <w:r>
              <w:rPr>
                <w:rFonts w:hint="eastAsia" w:ascii="Times New Roman" w:hAnsi="Times New Roman" w:eastAsia="宋体" w:cs="Times New Roman"/>
                <w:color w:val="000000"/>
                <w:kern w:val="0"/>
                <w:szCs w:val="24"/>
                <w:u w:val="single"/>
                <w:lang w:bidi="ar"/>
              </w:rPr>
              <w:t>，开挖之后的弃土石方约</w:t>
            </w:r>
            <w:r>
              <w:rPr>
                <w:rFonts w:ascii="Times New Roman" w:hAnsi="Times New Roman" w:eastAsia="宋体" w:cs="Times New Roman"/>
                <w:color w:val="000000"/>
                <w:kern w:val="0"/>
                <w:szCs w:val="24"/>
                <w:u w:val="single"/>
                <w:lang w:bidi="ar"/>
              </w:rPr>
              <w:t>38134m</w:t>
            </w:r>
            <w:r>
              <w:rPr>
                <w:rFonts w:ascii="Times New Roman" w:hAnsi="Times New Roman" w:eastAsia="宋体" w:cs="Times New Roman"/>
                <w:color w:val="000000"/>
                <w:kern w:val="0"/>
                <w:szCs w:val="24"/>
                <w:u w:val="single"/>
                <w:vertAlign w:val="superscript"/>
                <w:lang w:bidi="ar"/>
              </w:rPr>
              <w:t>3</w:t>
            </w:r>
            <w:r>
              <w:rPr>
                <w:rFonts w:hint="eastAsia" w:ascii="Times New Roman" w:hAnsi="Times New Roman" w:eastAsia="宋体" w:cs="Times New Roman"/>
                <w:color w:val="000000"/>
                <w:kern w:val="0"/>
                <w:szCs w:val="24"/>
                <w:u w:val="single"/>
                <w:lang w:bidi="ar"/>
              </w:rPr>
              <w:t>，施工土石方在用地区域内尽量平衡，不能平衡的多余弃方与建筑垃圾一起按渣土部门要求清运至渣土部门指定地点。建筑工程施工现场应当专门设置集中堆放建筑垃圾的场地，并在</w:t>
            </w:r>
            <w:r>
              <w:rPr>
                <w:rFonts w:ascii="Times New Roman" w:hAnsi="Times New Roman" w:eastAsia="宋体" w:cs="Times New Roman"/>
                <w:color w:val="000000"/>
                <w:kern w:val="0"/>
                <w:szCs w:val="24"/>
                <w:u w:val="single"/>
                <w:lang w:bidi="ar"/>
              </w:rPr>
              <w:t>48</w:t>
            </w:r>
            <w:r>
              <w:rPr>
                <w:rFonts w:hint="eastAsia" w:ascii="Times New Roman" w:hAnsi="Times New Roman" w:eastAsia="宋体" w:cs="Times New Roman"/>
                <w:color w:val="000000"/>
                <w:kern w:val="0"/>
                <w:szCs w:val="24"/>
                <w:u w:val="single"/>
                <w:lang w:bidi="ar"/>
              </w:rPr>
              <w:t>小时内完成清运送至指定的场所处置，不能按时完成清运的建筑垃圾，应采取围挡、遮盖等防尘措施；施工人员生活垃圾统一收集交由环卫部门清运处理。</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通过上述措施可使施工固体废物得到妥善处置，不会对周围环境产生不良影响</w:t>
            </w:r>
          </w:p>
          <w:p>
            <w:pPr>
              <w:pStyle w:val="6"/>
              <w:ind w:firstLine="482"/>
              <w:outlineLvl w:val="2"/>
            </w:pPr>
            <w:bookmarkStart w:id="69" w:name="_Toc34059541"/>
            <w:r>
              <w:rPr>
                <w:rFonts w:hint="eastAsia"/>
              </w:rPr>
              <w:t>1.</w:t>
            </w:r>
            <w:r>
              <w:t>5</w:t>
            </w:r>
            <w:r>
              <w:rPr>
                <w:rFonts w:hint="eastAsia"/>
              </w:rPr>
              <w:t>施工期生态环境污染防治措施及影响</w:t>
            </w:r>
            <w:bookmarkEnd w:id="69"/>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施工过程土地开挖等施工过程将改变原有场地内的地形地貌、景观，施工期生态环境影响主要表现在地表开挖造成的水土流失。在不采取任何水保措施的情况下，项目施工期扰动地表会造成一定量的水土流失。</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施工期由于项目施工、土石开挖、机械碾压等原因，破坏了工程范围内原有地貌，扰动了表土结构，致使土体抗蚀能力降低，土壤侵蚀加剧，如不采取相应的水土流失防治措施将导致水土流失大量增加。为减小水土流失影响，本次环评提出以下水土流失防护措施：</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①合理安排施工时间，大面积破土的土建施工尽量避开雨季；</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②项目应尽量降低施工面的裸露时间，对新产生的裸露地表的松土及时压实，施工 单位应根据施工进程及时进行绿化；</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③新建临时排水沟以及临时沉砂池；雨天场地排水做到达标排放；</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④设备堆放场、材料堆放场要加强防径流冲刷措施，采取篷布遮盖等措施。施工过程开挖的土石方及时回填，暂时不能回填的，应该采取遮盖措施。</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项目施工结束后对站区进行绿化建设，且项目建筑采取与周边景观相协调的颜色风格，对周围景观影响相对较小。</w:t>
            </w:r>
          </w:p>
          <w:p>
            <w:pPr>
              <w:pStyle w:val="6"/>
              <w:ind w:firstLine="482"/>
              <w:outlineLvl w:val="2"/>
            </w:pPr>
            <w:bookmarkStart w:id="70" w:name="_Toc34059542"/>
            <w:r>
              <w:rPr>
                <w:rFonts w:hint="eastAsia" w:eastAsia="宋体" w:cs="Times New Roman"/>
                <w:color w:val="000000"/>
                <w:kern w:val="0"/>
                <w:szCs w:val="24"/>
                <w:lang w:bidi="ar"/>
              </w:rPr>
              <w:t>1.6</w:t>
            </w:r>
            <w:r>
              <w:rPr>
                <w:rFonts w:hint="eastAsia" w:ascii="宋体" w:hAnsi="宋体" w:eastAsia="宋体" w:cs="宋体"/>
                <w:color w:val="000000"/>
                <w:kern w:val="0"/>
                <w:szCs w:val="24"/>
                <w:lang w:bidi="ar"/>
              </w:rPr>
              <w:t>施工期环境影响小结</w:t>
            </w:r>
            <w:bookmarkEnd w:id="70"/>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综上分析，本项目施工期可采取一定的措施避免或减轻其污染，使其达标排放、合理处置。这些影响随着施工期结束，施工噪声、扬尘和水土流失等问题也会消失。</w:t>
            </w:r>
          </w:p>
          <w:p>
            <w:pPr>
              <w:pStyle w:val="5"/>
              <w:ind w:firstLine="562"/>
              <w:outlineLvl w:val="1"/>
            </w:pPr>
            <w:bookmarkStart w:id="71" w:name="_Toc34059543"/>
            <w:r>
              <w:rPr>
                <w:rFonts w:hint="eastAsia"/>
              </w:rPr>
              <w:t>2、营运期环境影响分析</w:t>
            </w:r>
            <w:bookmarkEnd w:id="71"/>
          </w:p>
          <w:p>
            <w:pPr>
              <w:pStyle w:val="6"/>
              <w:ind w:firstLine="482"/>
              <w:outlineLvl w:val="2"/>
            </w:pPr>
            <w:bookmarkStart w:id="72" w:name="_Toc34059544"/>
            <w:r>
              <w:rPr>
                <w:rFonts w:hint="eastAsia"/>
              </w:rPr>
              <w:t>2.1大气环境影响分析</w:t>
            </w:r>
            <w:bookmarkEnd w:id="72"/>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项目食堂使用天然气属清洁燃料，产生的大气污染物极少，故项目教学运营期废气主要为食堂产生的油烟、汽车尾气、污水处理站臭气、实验室废气。</w:t>
            </w:r>
          </w:p>
          <w:p>
            <w:pPr>
              <w:pStyle w:val="38"/>
              <w:widowControl/>
              <w:ind w:left="840" w:firstLine="0" w:firstLineChars="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（1）食堂油烟</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项目采用燃料采用清洁能源天然气，对周围环境影响较小。项目小学食堂及初中食堂运营产生的油烟量分别为</w:t>
            </w:r>
            <w:r>
              <w:rPr>
                <w:rFonts w:ascii="Times New Roman" w:hAnsi="Times New Roman" w:eastAsia="宋体" w:cs="Times New Roman"/>
                <w:color w:val="000000"/>
                <w:kern w:val="0"/>
                <w:szCs w:val="24"/>
                <w:lang w:bidi="ar"/>
              </w:rPr>
              <w:t>243kg/a</w:t>
            </w:r>
            <w:r>
              <w:rPr>
                <w:rFonts w:hint="eastAsia" w:ascii="Times New Roman" w:hAnsi="Times New Roman" w:eastAsia="宋体" w:cs="Times New Roman"/>
                <w:color w:val="000000"/>
                <w:kern w:val="0"/>
                <w:szCs w:val="24"/>
                <w:lang w:bidi="ar"/>
              </w:rPr>
              <w:t>和1</w:t>
            </w:r>
            <w:r>
              <w:rPr>
                <w:rFonts w:ascii="Times New Roman" w:hAnsi="Times New Roman" w:eastAsia="宋体" w:cs="Times New Roman"/>
                <w:color w:val="000000"/>
                <w:kern w:val="0"/>
                <w:szCs w:val="24"/>
                <w:lang w:bidi="ar"/>
              </w:rPr>
              <w:t>60.5kg/a</w:t>
            </w:r>
            <w:r>
              <w:rPr>
                <w:rFonts w:hint="eastAsia" w:ascii="Times New Roman" w:hAnsi="Times New Roman" w:eastAsia="宋体" w:cs="Times New Roman"/>
                <w:color w:val="000000"/>
                <w:kern w:val="0"/>
                <w:szCs w:val="24"/>
                <w:lang w:bidi="ar"/>
              </w:rPr>
              <w:t>，经配套建设低噪声复合型静电油烟净化器（处理效率</w:t>
            </w:r>
            <w:r>
              <w:rPr>
                <w:rFonts w:ascii="Times New Roman" w:hAnsi="Times New Roman" w:eastAsia="宋体" w:cs="Times New Roman"/>
                <w:color w:val="000000"/>
                <w:kern w:val="0"/>
                <w:szCs w:val="24"/>
                <w:lang w:bidi="ar"/>
              </w:rPr>
              <w:t>≥90%</w:t>
            </w:r>
            <w:r>
              <w:rPr>
                <w:rFonts w:hint="eastAsia" w:ascii="Times New Roman" w:hAnsi="Times New Roman" w:eastAsia="宋体" w:cs="Times New Roman"/>
                <w:color w:val="000000"/>
                <w:kern w:val="0"/>
                <w:szCs w:val="24"/>
                <w:lang w:bidi="ar"/>
              </w:rPr>
              <w:t>）处理，处理后的油烟排放量分别为</w:t>
            </w:r>
            <w:r>
              <w:rPr>
                <w:rFonts w:ascii="Times New Roman" w:hAnsi="Times New Roman" w:eastAsia="宋体" w:cs="Times New Roman"/>
                <w:color w:val="000000"/>
                <w:kern w:val="0"/>
                <w:szCs w:val="24"/>
                <w:lang w:bidi="ar"/>
              </w:rPr>
              <w:t>24.3kg/a</w:t>
            </w:r>
            <w:r>
              <w:rPr>
                <w:rFonts w:hint="eastAsia" w:ascii="Times New Roman" w:hAnsi="Times New Roman" w:eastAsia="宋体" w:cs="Times New Roman"/>
                <w:color w:val="000000"/>
                <w:kern w:val="0"/>
                <w:szCs w:val="24"/>
                <w:lang w:bidi="ar"/>
              </w:rPr>
              <w:t>和1</w:t>
            </w:r>
            <w:r>
              <w:rPr>
                <w:rFonts w:ascii="Times New Roman" w:hAnsi="Times New Roman" w:eastAsia="宋体" w:cs="Times New Roman"/>
                <w:color w:val="000000"/>
                <w:kern w:val="0"/>
                <w:szCs w:val="24"/>
                <w:lang w:bidi="ar"/>
              </w:rPr>
              <w:t>6.05kg/a</w:t>
            </w:r>
            <w:r>
              <w:rPr>
                <w:rFonts w:hint="eastAsia" w:ascii="Times New Roman" w:hAnsi="Times New Roman" w:eastAsia="宋体" w:cs="Times New Roman"/>
                <w:color w:val="000000"/>
                <w:kern w:val="0"/>
                <w:szCs w:val="24"/>
                <w:lang w:bidi="ar"/>
              </w:rPr>
              <w:t>，油烟浓度分别为</w:t>
            </w:r>
            <w:r>
              <w:rPr>
                <w:rFonts w:ascii="Times New Roman" w:hAnsi="Times New Roman" w:eastAsia="宋体" w:cs="Times New Roman"/>
                <w:color w:val="000000"/>
                <w:kern w:val="0"/>
                <w:szCs w:val="24"/>
                <w:lang w:bidi="ar"/>
              </w:rPr>
              <w:t>1.519mg/m</w:t>
            </w:r>
            <w:r>
              <w:rPr>
                <w:rFonts w:ascii="Times New Roman" w:hAnsi="Times New Roman" w:eastAsia="宋体" w:cs="Times New Roman"/>
                <w:color w:val="000000"/>
                <w:kern w:val="0"/>
                <w:szCs w:val="24"/>
                <w:vertAlign w:val="superscript"/>
                <w:lang w:bidi="ar"/>
              </w:rPr>
              <w:t>3</w:t>
            </w:r>
            <w:r>
              <w:rPr>
                <w:rFonts w:hint="eastAsia" w:ascii="Times New Roman" w:hAnsi="Times New Roman" w:eastAsia="宋体" w:cs="Times New Roman"/>
                <w:color w:val="000000"/>
                <w:kern w:val="0"/>
                <w:szCs w:val="24"/>
                <w:lang w:bidi="ar"/>
              </w:rPr>
              <w:t>和1</w:t>
            </w:r>
            <w:r>
              <w:rPr>
                <w:rFonts w:ascii="Times New Roman" w:hAnsi="Times New Roman" w:eastAsia="宋体" w:cs="Times New Roman"/>
                <w:color w:val="000000"/>
                <w:kern w:val="0"/>
                <w:szCs w:val="24"/>
                <w:lang w:bidi="ar"/>
              </w:rPr>
              <w:t>.003 mg/m</w:t>
            </w:r>
            <w:r>
              <w:rPr>
                <w:rFonts w:ascii="Times New Roman" w:hAnsi="Times New Roman" w:eastAsia="宋体" w:cs="Times New Roman"/>
                <w:color w:val="000000"/>
                <w:kern w:val="0"/>
                <w:szCs w:val="24"/>
                <w:vertAlign w:val="superscript"/>
                <w:lang w:bidi="ar"/>
              </w:rPr>
              <w:t>3</w:t>
            </w:r>
            <w:r>
              <w:rPr>
                <w:rFonts w:hint="eastAsia" w:ascii="Times New Roman" w:hAnsi="Times New Roman" w:eastAsia="宋体" w:cs="Times New Roman"/>
                <w:color w:val="000000"/>
                <w:kern w:val="0"/>
                <w:szCs w:val="24"/>
                <w:lang w:bidi="ar"/>
              </w:rPr>
              <w:t>，能达到《饮食业油烟排放标准（试行）》（</w:t>
            </w:r>
            <w:r>
              <w:rPr>
                <w:rFonts w:ascii="Times New Roman" w:hAnsi="Times New Roman" w:eastAsia="宋体" w:cs="Times New Roman"/>
                <w:color w:val="000000"/>
                <w:kern w:val="0"/>
                <w:szCs w:val="24"/>
                <w:lang w:bidi="ar"/>
              </w:rPr>
              <w:t>GB18483-2001</w:t>
            </w:r>
            <w:r>
              <w:rPr>
                <w:rFonts w:hint="eastAsia" w:ascii="Times New Roman" w:hAnsi="Times New Roman" w:eastAsia="宋体" w:cs="Times New Roman"/>
                <w:color w:val="000000"/>
                <w:kern w:val="0"/>
                <w:szCs w:val="24"/>
                <w:lang w:bidi="ar"/>
              </w:rPr>
              <w:t>）中标准浓度限值。各食堂油烟废气经高效油烟净化器处理后的油烟废气分别经食堂油烟管道引至高空排放，项目宿舍区楼层较高，油烟废气引至屋顶后经高空大气扩散不会对校园内师生及周边环境产生较大影响。</w:t>
            </w:r>
          </w:p>
          <w:p>
            <w:pPr>
              <w:pStyle w:val="38"/>
              <w:widowControl/>
              <w:numPr>
                <w:ilvl w:val="0"/>
                <w:numId w:val="8"/>
              </w:numPr>
              <w:ind w:left="840" w:firstLine="0" w:firstLineChars="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地下车库废气</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本项目建有地下停车场，停车位</w:t>
            </w:r>
            <w:r>
              <w:rPr>
                <w:rFonts w:ascii="Times New Roman" w:hAnsi="Times New Roman" w:eastAsia="宋体" w:cs="Times New Roman"/>
                <w:color w:val="000000"/>
                <w:kern w:val="0"/>
                <w:szCs w:val="24"/>
                <w:lang w:bidi="ar"/>
              </w:rPr>
              <w:t>184</w:t>
            </w:r>
            <w:r>
              <w:rPr>
                <w:rFonts w:hint="eastAsia" w:ascii="Times New Roman" w:hAnsi="Times New Roman" w:eastAsia="宋体" w:cs="Times New Roman"/>
                <w:color w:val="000000"/>
                <w:kern w:val="0"/>
                <w:szCs w:val="24"/>
                <w:lang w:bidi="ar"/>
              </w:rPr>
              <w:t>个，汽车尾气中所含主要污染物为CO、NO</w:t>
            </w:r>
            <w:r>
              <w:rPr>
                <w:rFonts w:hint="eastAsia" w:ascii="Times New Roman" w:hAnsi="Times New Roman" w:eastAsia="宋体" w:cs="Times New Roman"/>
                <w:color w:val="000000"/>
                <w:kern w:val="0"/>
                <w:szCs w:val="24"/>
                <w:vertAlign w:val="subscript"/>
                <w:lang w:bidi="ar"/>
              </w:rPr>
              <w:t>2</w:t>
            </w:r>
            <w:r>
              <w:rPr>
                <w:rFonts w:hint="eastAsia" w:ascii="Times New Roman" w:hAnsi="Times New Roman" w:eastAsia="宋体" w:cs="Times New Roman"/>
                <w:color w:val="000000"/>
                <w:kern w:val="0"/>
                <w:szCs w:val="24"/>
                <w:lang w:bidi="ar"/>
              </w:rPr>
              <w:t>、THC。本项目地下停车场汽车尾气污染物最大排放量为：NO</w:t>
            </w:r>
            <w:r>
              <w:rPr>
                <w:rFonts w:hint="eastAsia" w:ascii="Times New Roman" w:hAnsi="Times New Roman" w:eastAsia="宋体" w:cs="Times New Roman"/>
                <w:color w:val="000000"/>
                <w:kern w:val="0"/>
                <w:szCs w:val="24"/>
                <w:vertAlign w:val="subscript"/>
                <w:lang w:bidi="ar"/>
              </w:rPr>
              <w:t>2</w:t>
            </w:r>
            <w:r>
              <w:rPr>
                <w:rFonts w:hint="eastAsia" w:ascii="Times New Roman" w:hAnsi="Times New Roman" w:eastAsia="宋体" w:cs="Times New Roman"/>
                <w:color w:val="000000"/>
                <w:kern w:val="0"/>
                <w:szCs w:val="24"/>
                <w:lang w:bidi="ar"/>
              </w:rPr>
              <w:t>：0.0</w:t>
            </w:r>
            <w:r>
              <w:rPr>
                <w:rFonts w:ascii="Times New Roman" w:hAnsi="Times New Roman" w:eastAsia="宋体" w:cs="Times New Roman"/>
                <w:color w:val="000000"/>
                <w:kern w:val="0"/>
                <w:szCs w:val="24"/>
                <w:lang w:bidi="ar"/>
              </w:rPr>
              <w:t>71</w:t>
            </w:r>
            <w:r>
              <w:rPr>
                <w:rFonts w:hint="eastAsia" w:ascii="Times New Roman" w:hAnsi="Times New Roman" w:eastAsia="宋体" w:cs="Times New Roman"/>
                <w:color w:val="000000"/>
                <w:kern w:val="0"/>
                <w:szCs w:val="24"/>
                <w:lang w:bidi="ar"/>
              </w:rPr>
              <w:t>kg/a；CO：</w:t>
            </w:r>
            <w:r>
              <w:rPr>
                <w:rFonts w:ascii="Times New Roman" w:hAnsi="Times New Roman" w:eastAsia="宋体" w:cs="Times New Roman"/>
                <w:color w:val="000000"/>
                <w:kern w:val="0"/>
                <w:szCs w:val="24"/>
                <w:lang w:bidi="ar"/>
              </w:rPr>
              <w:t>2.41</w:t>
            </w:r>
            <w:r>
              <w:rPr>
                <w:rFonts w:hint="eastAsia" w:ascii="Times New Roman" w:hAnsi="Times New Roman" w:eastAsia="宋体" w:cs="Times New Roman"/>
                <w:color w:val="000000"/>
                <w:kern w:val="0"/>
                <w:szCs w:val="24"/>
                <w:lang w:bidi="ar"/>
              </w:rPr>
              <w:t>kg/a；THC：1</w:t>
            </w:r>
            <w:r>
              <w:rPr>
                <w:rFonts w:ascii="Times New Roman" w:hAnsi="Times New Roman" w:eastAsia="宋体" w:cs="Times New Roman"/>
                <w:color w:val="000000"/>
                <w:kern w:val="0"/>
                <w:szCs w:val="24"/>
                <w:lang w:bidi="ar"/>
              </w:rPr>
              <w:t>.39</w:t>
            </w:r>
            <w:r>
              <w:rPr>
                <w:rFonts w:hint="eastAsia" w:ascii="Times New Roman" w:hAnsi="Times New Roman" w:eastAsia="宋体" w:cs="Times New Roman"/>
                <w:color w:val="000000"/>
                <w:kern w:val="0"/>
                <w:szCs w:val="24"/>
                <w:lang w:bidi="ar"/>
              </w:rPr>
              <w:t>8kg/a。可知污染物排放量极小，且经过通风处理后不会在地下车库富集各污染物，对环境影响较小。</w:t>
            </w:r>
          </w:p>
          <w:p>
            <w:pPr>
              <w:pStyle w:val="38"/>
              <w:widowControl/>
              <w:numPr>
                <w:ilvl w:val="0"/>
                <w:numId w:val="8"/>
              </w:numPr>
              <w:ind w:left="840" w:firstLine="0" w:firstLineChars="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污水处理站臭气</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w:t>
            </w:r>
            <w:r>
              <w:rPr>
                <w:rFonts w:hint="eastAsia" w:ascii="Times New Roman" w:hAnsi="Times New Roman" w:eastAsia="宋体" w:cs="Times New Roman"/>
                <w:kern w:val="0"/>
                <w:szCs w:val="24"/>
                <w:lang w:bidi="ar"/>
              </w:rPr>
              <w:t>目污水处理站采用半地埋式并设置在项目西北侧，</w:t>
            </w:r>
            <w:r>
              <w:rPr>
                <w:rFonts w:hint="eastAsia" w:ascii="Times New Roman" w:hAnsi="Times New Roman" w:eastAsia="宋体" w:cs="Times New Roman"/>
                <w:color w:val="000000"/>
                <w:kern w:val="0"/>
                <w:szCs w:val="24"/>
                <w:lang w:bidi="ar"/>
              </w:rPr>
              <w:t>NH</w:t>
            </w:r>
            <w:r>
              <w:rPr>
                <w:rFonts w:hint="eastAsia" w:ascii="Times New Roman" w:hAnsi="Times New Roman" w:eastAsia="宋体" w:cs="Times New Roman"/>
                <w:color w:val="000000"/>
                <w:kern w:val="0"/>
                <w:szCs w:val="24"/>
                <w:vertAlign w:val="subscript"/>
                <w:lang w:bidi="ar"/>
              </w:rPr>
              <w:t>3</w:t>
            </w:r>
            <w:r>
              <w:rPr>
                <w:rFonts w:hint="eastAsia" w:ascii="Times New Roman" w:hAnsi="Times New Roman" w:eastAsia="宋体" w:cs="Times New Roman"/>
                <w:color w:val="000000"/>
                <w:kern w:val="0"/>
                <w:szCs w:val="24"/>
                <w:lang w:bidi="ar"/>
              </w:rPr>
              <w:t>和H</w:t>
            </w:r>
            <w:r>
              <w:rPr>
                <w:rFonts w:hint="eastAsia" w:ascii="Times New Roman" w:hAnsi="Times New Roman" w:eastAsia="宋体" w:cs="Times New Roman"/>
                <w:color w:val="000000"/>
                <w:kern w:val="0"/>
                <w:szCs w:val="24"/>
                <w:vertAlign w:val="subscript"/>
                <w:lang w:bidi="ar"/>
              </w:rPr>
              <w:t>2</w:t>
            </w:r>
            <w:r>
              <w:rPr>
                <w:rFonts w:hint="eastAsia" w:ascii="Times New Roman" w:hAnsi="Times New Roman" w:eastAsia="宋体" w:cs="Times New Roman"/>
                <w:color w:val="000000"/>
                <w:kern w:val="0"/>
                <w:szCs w:val="24"/>
                <w:lang w:bidi="ar"/>
              </w:rPr>
              <w:t>S的排放量约为0.021t/a、0.0008t/a，氨气及硫化氢产生量极少呈无组织排放。</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fldChar w:fldCharType="begin"/>
            </w:r>
            <w:r>
              <w:rPr>
                <w:rFonts w:ascii="Times New Roman" w:hAnsi="Times New Roman" w:eastAsia="宋体" w:cs="Times New Roman"/>
                <w:color w:val="000000"/>
                <w:kern w:val="0"/>
                <w:szCs w:val="24"/>
                <w:lang w:bidi="ar"/>
              </w:rPr>
              <w:instrText xml:space="preserve"> = 1 \* GB3 \* MERGEFORMAT </w:instrText>
            </w:r>
            <w:r>
              <w:rPr>
                <w:rFonts w:ascii="Times New Roman" w:hAnsi="Times New Roman" w:eastAsia="宋体" w:cs="Times New Roman"/>
                <w:color w:val="000000"/>
                <w:kern w:val="0"/>
                <w:szCs w:val="24"/>
                <w:lang w:bidi="ar"/>
              </w:rPr>
              <w:fldChar w:fldCharType="separate"/>
            </w:r>
            <w:r>
              <w:rPr>
                <w:rFonts w:hint="eastAsia" w:ascii="Times New Roman" w:hAnsi="Times New Roman" w:eastAsia="宋体" w:cs="Times New Roman"/>
                <w:color w:val="000000"/>
                <w:kern w:val="0"/>
                <w:szCs w:val="24"/>
                <w:lang w:bidi="ar"/>
              </w:rPr>
              <w:t>①</w:t>
            </w:r>
            <w:r>
              <w:rPr>
                <w:rFonts w:ascii="Times New Roman" w:hAnsi="Times New Roman" w:eastAsia="宋体" w:cs="Times New Roman"/>
                <w:color w:val="000000"/>
                <w:kern w:val="0"/>
                <w:szCs w:val="24"/>
                <w:lang w:bidi="ar"/>
              </w:rPr>
              <w:fldChar w:fldCharType="end"/>
            </w:r>
            <w:r>
              <w:rPr>
                <w:rFonts w:hint="eastAsia" w:ascii="Times New Roman" w:hAnsi="Times New Roman" w:eastAsia="宋体" w:cs="Times New Roman"/>
                <w:color w:val="000000"/>
                <w:kern w:val="0"/>
                <w:szCs w:val="24"/>
                <w:lang w:bidi="ar"/>
              </w:rPr>
              <w:t>评价因子</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根据工程分析，本项目运营期大气环境影响预测因子为NH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、H</w:t>
            </w:r>
            <w:r>
              <w:rPr>
                <w:rFonts w:ascii="Times New Roman" w:hAnsi="Times New Roman" w:eastAsia="宋体" w:cs="Times New Roman"/>
                <w:color w:val="000000"/>
                <w:kern w:val="0"/>
                <w:szCs w:val="24"/>
                <w:vertAlign w:val="subscript"/>
                <w:lang w:bidi="ar"/>
              </w:rPr>
              <w:t>2</w:t>
            </w:r>
            <w:r>
              <w:rPr>
                <w:rFonts w:ascii="Times New Roman" w:hAnsi="Times New Roman" w:eastAsia="宋体" w:cs="Times New Roman"/>
                <w:color w:val="000000"/>
                <w:kern w:val="0"/>
                <w:szCs w:val="24"/>
                <w:lang w:bidi="ar"/>
              </w:rPr>
              <w:t>S。NH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、H</w:t>
            </w:r>
            <w:r>
              <w:rPr>
                <w:rFonts w:ascii="Times New Roman" w:hAnsi="Times New Roman" w:eastAsia="宋体" w:cs="Times New Roman"/>
                <w:color w:val="000000"/>
                <w:kern w:val="0"/>
                <w:szCs w:val="24"/>
                <w:vertAlign w:val="subscript"/>
                <w:lang w:bidi="ar"/>
              </w:rPr>
              <w:t>2</w:t>
            </w:r>
            <w:r>
              <w:rPr>
                <w:rFonts w:ascii="Times New Roman" w:hAnsi="Times New Roman" w:eastAsia="宋体" w:cs="Times New Roman"/>
                <w:color w:val="000000"/>
                <w:kern w:val="0"/>
                <w:szCs w:val="24"/>
                <w:lang w:bidi="ar"/>
              </w:rPr>
              <w:t>S参考《环境影响评价计算导则 大气环境》(HJ2.2-2018)附录D其它污染物空气质量浓度参考限值。</w:t>
            </w:r>
          </w:p>
          <w:p>
            <w:pPr>
              <w:spacing w:line="240" w:lineRule="auto"/>
              <w:jc w:val="center"/>
              <w:rPr>
                <w:rFonts w:ascii="Times New Roman" w:hAnsi="Times New Roman" w:eastAsia="宋体" w:cs="Times New Roman"/>
                <w:b/>
                <w:color w:val="000000"/>
                <w:szCs w:val="24"/>
              </w:rPr>
            </w:pPr>
            <w:r>
              <w:rPr>
                <w:rFonts w:ascii="Times New Roman" w:hAnsi="Times New Roman" w:eastAsia="宋体" w:cs="Times New Roman"/>
                <w:b/>
                <w:color w:val="000000"/>
                <w:szCs w:val="24"/>
              </w:rPr>
              <w:t>表7-3  评价因子和评价标准表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259"/>
              <w:gridCol w:w="1908"/>
              <w:gridCol w:w="48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207" w:type="dxa"/>
                  <w:tcBorders>
                    <w:top w:val="single" w:color="auto" w:sz="12" w:space="0"/>
                    <w:bottom w:val="single" w:color="auto" w:sz="12" w:space="0"/>
                  </w:tcBorders>
                  <w:vAlign w:val="center"/>
                </w:tcPr>
                <w:p>
                  <w:pPr>
                    <w:spacing w:line="276"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评价因子</w:t>
                  </w:r>
                </w:p>
              </w:tc>
              <w:tc>
                <w:tcPr>
                  <w:tcW w:w="1259" w:type="dxa"/>
                  <w:tcBorders>
                    <w:top w:val="single" w:color="auto" w:sz="12" w:space="0"/>
                    <w:bottom w:val="single" w:color="auto" w:sz="12" w:space="0"/>
                  </w:tcBorders>
                  <w:vAlign w:val="center"/>
                </w:tcPr>
                <w:p>
                  <w:pPr>
                    <w:spacing w:line="276"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平均时段</w:t>
                  </w:r>
                </w:p>
              </w:tc>
              <w:tc>
                <w:tcPr>
                  <w:tcW w:w="1908" w:type="dxa"/>
                  <w:tcBorders>
                    <w:top w:val="single" w:color="auto" w:sz="12" w:space="0"/>
                    <w:bottom w:val="single" w:color="auto" w:sz="12" w:space="0"/>
                  </w:tcBorders>
                  <w:vAlign w:val="center"/>
                </w:tcPr>
                <w:p>
                  <w:pPr>
                    <w:spacing w:line="276"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标准值/（ug/m</w:t>
                  </w:r>
                  <w:r>
                    <w:rPr>
                      <w:rFonts w:ascii="Times New Roman" w:hAnsi="Times New Roman" w:eastAsia="宋体" w:cs="Times New Roman"/>
                      <w:b/>
                      <w:color w:val="000000"/>
                      <w:sz w:val="21"/>
                      <w:szCs w:val="21"/>
                      <w:vertAlign w:val="superscript"/>
                    </w:rPr>
                    <w:t>3</w:t>
                  </w:r>
                  <w:r>
                    <w:rPr>
                      <w:rFonts w:ascii="Times New Roman" w:hAnsi="Times New Roman" w:eastAsia="宋体" w:cs="Times New Roman"/>
                      <w:b/>
                      <w:color w:val="000000"/>
                      <w:sz w:val="21"/>
                      <w:szCs w:val="21"/>
                    </w:rPr>
                    <w:t>）</w:t>
                  </w:r>
                </w:p>
              </w:tc>
              <w:tc>
                <w:tcPr>
                  <w:tcW w:w="4867" w:type="dxa"/>
                  <w:tcBorders>
                    <w:top w:val="single" w:color="auto" w:sz="12" w:space="0"/>
                    <w:bottom w:val="single" w:color="auto" w:sz="12" w:space="0"/>
                  </w:tcBorders>
                  <w:vAlign w:val="center"/>
                </w:tcPr>
                <w:p>
                  <w:pPr>
                    <w:spacing w:line="276"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207" w:type="dxa"/>
                  <w:tcBorders>
                    <w:top w:val="single" w:color="auto" w:sz="12" w:space="0"/>
                  </w:tcBorders>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NH</w:t>
                  </w:r>
                  <w:r>
                    <w:rPr>
                      <w:rFonts w:ascii="Times New Roman" w:hAnsi="Times New Roman" w:eastAsia="宋体" w:cs="Times New Roman"/>
                      <w:color w:val="000000"/>
                      <w:sz w:val="21"/>
                      <w:szCs w:val="21"/>
                      <w:vertAlign w:val="subscript"/>
                    </w:rPr>
                    <w:t>3</w:t>
                  </w:r>
                </w:p>
              </w:tc>
              <w:tc>
                <w:tcPr>
                  <w:tcW w:w="1259" w:type="dxa"/>
                  <w:tcBorders>
                    <w:top w:val="single" w:color="auto" w:sz="12" w:space="0"/>
                  </w:tcBorders>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1h平均</w:t>
                  </w:r>
                </w:p>
              </w:tc>
              <w:tc>
                <w:tcPr>
                  <w:tcW w:w="1908" w:type="dxa"/>
                  <w:tcBorders>
                    <w:top w:val="single" w:color="auto" w:sz="12" w:space="0"/>
                  </w:tcBorders>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200</w:t>
                  </w:r>
                </w:p>
              </w:tc>
              <w:tc>
                <w:tcPr>
                  <w:tcW w:w="4867" w:type="dxa"/>
                  <w:vMerge w:val="restart"/>
                  <w:tcBorders>
                    <w:top w:val="single" w:color="auto" w:sz="12" w:space="0"/>
                  </w:tcBorders>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《环境影响评价计算导则 大气环境》(HJ2.2-2018)附录D其它污染物空气质量浓度参考限值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207" w:type="dxa"/>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H</w:t>
                  </w:r>
                  <w:r>
                    <w:rPr>
                      <w:rFonts w:ascii="Times New Roman" w:hAnsi="Times New Roman" w:eastAsia="宋体" w:cs="Times New Roman"/>
                      <w:color w:val="000000"/>
                      <w:sz w:val="21"/>
                      <w:szCs w:val="21"/>
                      <w:vertAlign w:val="subscript"/>
                    </w:rPr>
                    <w:t>2</w:t>
                  </w:r>
                  <w:r>
                    <w:rPr>
                      <w:rFonts w:ascii="Times New Roman" w:hAnsi="Times New Roman" w:eastAsia="宋体" w:cs="Times New Roman"/>
                      <w:color w:val="000000"/>
                      <w:sz w:val="21"/>
                      <w:szCs w:val="21"/>
                    </w:rPr>
                    <w:t>S</w:t>
                  </w:r>
                </w:p>
              </w:tc>
              <w:tc>
                <w:tcPr>
                  <w:tcW w:w="1259" w:type="dxa"/>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1h平均</w:t>
                  </w:r>
                </w:p>
              </w:tc>
              <w:tc>
                <w:tcPr>
                  <w:tcW w:w="1908" w:type="dxa"/>
                  <w:vAlign w:val="center"/>
                </w:tcPr>
                <w:p>
                  <w:pPr>
                    <w:spacing w:line="276"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10</w:t>
                  </w:r>
                </w:p>
              </w:tc>
              <w:tc>
                <w:tcPr>
                  <w:tcW w:w="4867" w:type="dxa"/>
                  <w:vMerge w:val="continue"/>
                  <w:vAlign w:val="center"/>
                </w:tcPr>
                <w:p>
                  <w:pPr>
                    <w:spacing w:line="276" w:lineRule="auto"/>
                    <w:jc w:val="center"/>
                    <w:rPr>
                      <w:rFonts w:ascii="Times New Roman" w:hAnsi="Times New Roman" w:eastAsia="宋体" w:cs="Times New Roman"/>
                      <w:color w:val="000000"/>
                      <w:sz w:val="21"/>
                      <w:szCs w:val="21"/>
                    </w:rPr>
                  </w:pPr>
                </w:p>
              </w:tc>
            </w:tr>
          </w:tbl>
          <w:p>
            <w:pPr>
              <w:spacing w:line="360" w:lineRule="auto"/>
              <w:ind w:firstLine="480" w:firstLineChars="200"/>
              <w:rPr>
                <w:rFonts w:ascii="Times New Roman" w:hAnsi="Times New Roman" w:eastAsia="宋体" w:cs="Times New Roman"/>
                <w:color w:val="000000"/>
                <w:szCs w:val="24"/>
              </w:rPr>
            </w:pPr>
            <w:r>
              <w:rPr>
                <w:rFonts w:ascii="Times New Roman" w:hAnsi="Times New Roman" w:eastAsia="宋体" w:cs="Times New Roman"/>
                <w:color w:val="000000"/>
                <w:szCs w:val="24"/>
              </w:rPr>
              <w:fldChar w:fldCharType="begin"/>
            </w:r>
            <w:r>
              <w:rPr>
                <w:rFonts w:ascii="Times New Roman" w:hAnsi="Times New Roman" w:eastAsia="宋体" w:cs="Times New Roman"/>
                <w:color w:val="000000"/>
                <w:szCs w:val="24"/>
              </w:rPr>
              <w:instrText xml:space="preserve"> = 2 \* GB3 \* MERGEFORMAT </w:instrText>
            </w:r>
            <w:r>
              <w:rPr>
                <w:rFonts w:ascii="Times New Roman" w:hAnsi="Times New Roman" w:eastAsia="宋体" w:cs="Times New Roman"/>
                <w:color w:val="000000"/>
                <w:szCs w:val="24"/>
              </w:rPr>
              <w:fldChar w:fldCharType="separate"/>
            </w:r>
            <w:r>
              <w:rPr>
                <w:rFonts w:hint="eastAsia" w:ascii="宋体" w:hAnsi="宋体" w:eastAsia="宋体" w:cs="宋体"/>
                <w:szCs w:val="24"/>
              </w:rPr>
              <w:t>②</w:t>
            </w:r>
            <w:r>
              <w:rPr>
                <w:rFonts w:ascii="Times New Roman" w:hAnsi="Times New Roman" w:eastAsia="宋体" w:cs="Times New Roman"/>
                <w:color w:val="000000"/>
                <w:szCs w:val="24"/>
              </w:rPr>
              <w:fldChar w:fldCharType="end"/>
            </w:r>
            <w:r>
              <w:rPr>
                <w:rFonts w:ascii="Times New Roman" w:hAnsi="Times New Roman" w:eastAsia="宋体" w:cs="Times New Roman"/>
                <w:color w:val="000000"/>
                <w:szCs w:val="24"/>
              </w:rPr>
              <w:t>评价等级</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根据《环境影响评价技术导则大气环境》(HJ2.2-2018)，计算NH</w:t>
            </w:r>
            <w:r>
              <w:rPr>
                <w:rFonts w:ascii="Times New Roman" w:hAnsi="Times New Roman" w:eastAsia="宋体" w:cs="Times New Roman"/>
                <w:color w:val="000000"/>
                <w:kern w:val="0"/>
                <w:szCs w:val="24"/>
                <w:vertAlign w:val="subscript"/>
                <w:lang w:bidi="ar"/>
              </w:rPr>
              <w:t>3</w:t>
            </w:r>
            <w:r>
              <w:rPr>
                <w:rFonts w:hint="eastAsia" w:ascii="Times New Roman" w:hAnsi="Times New Roman" w:eastAsia="宋体" w:cs="Times New Roman"/>
                <w:color w:val="000000"/>
                <w:kern w:val="0"/>
                <w:szCs w:val="24"/>
                <w:lang w:bidi="ar"/>
              </w:rPr>
              <w:t>、</w:t>
            </w:r>
            <w:r>
              <w:rPr>
                <w:rFonts w:ascii="Times New Roman" w:hAnsi="Times New Roman" w:eastAsia="宋体" w:cs="Times New Roman"/>
                <w:color w:val="000000"/>
                <w:kern w:val="0"/>
                <w:szCs w:val="24"/>
                <w:lang w:bidi="ar"/>
              </w:rPr>
              <w:t>H</w:t>
            </w:r>
            <w:r>
              <w:rPr>
                <w:rFonts w:ascii="Times New Roman" w:hAnsi="Times New Roman" w:eastAsia="宋体" w:cs="Times New Roman"/>
                <w:color w:val="000000"/>
                <w:kern w:val="0"/>
                <w:szCs w:val="24"/>
                <w:vertAlign w:val="subscript"/>
                <w:lang w:bidi="ar"/>
              </w:rPr>
              <w:t>2</w:t>
            </w:r>
            <w:r>
              <w:rPr>
                <w:rFonts w:ascii="Times New Roman" w:hAnsi="Times New Roman" w:eastAsia="宋体" w:cs="Times New Roman"/>
                <w:color w:val="000000"/>
                <w:kern w:val="0"/>
                <w:szCs w:val="24"/>
                <w:lang w:bidi="ar"/>
              </w:rPr>
              <w:t>S最大地面浓度占标率</w:t>
            </w:r>
            <m:oMath>
              <m:sSub>
                <m:sSubPr>
                  <m:ctrlPr>
                    <w:rPr>
                      <w:rFonts w:ascii="Cambria Math" w:hAnsi="Cambria Math" w:eastAsia="宋体" w:cs="Times New Roman"/>
                      <w:color w:val="000000"/>
                      <w:kern w:val="0"/>
                      <w:szCs w:val="24"/>
                      <w:lang w:bidi="ar"/>
                    </w:rPr>
                  </m:ctrlPr>
                </m:sSubPr>
                <m:e>
                  <m:r>
                    <w:rPr>
                      <w:rFonts w:ascii="Cambria Math" w:hAnsi="Cambria Math" w:eastAsia="宋体" w:cs="Times New Roman"/>
                      <w:color w:val="000000"/>
                      <w:kern w:val="0"/>
                      <w:szCs w:val="24"/>
                      <w:lang w:bidi="ar"/>
                    </w:rPr>
                    <m:t>P</m:t>
                  </m:r>
                  <m:ctrlPr>
                    <w:rPr>
                      <w:rFonts w:ascii="Cambria Math" w:hAnsi="Cambria Math" w:eastAsia="宋体" w:cs="Times New Roman"/>
                      <w:color w:val="000000"/>
                      <w:kern w:val="0"/>
                      <w:szCs w:val="24"/>
                      <w:lang w:bidi="ar"/>
                    </w:rPr>
                  </m:ctrlPr>
                </m:e>
                <m:sub>
                  <m:r>
                    <w:rPr>
                      <w:rFonts w:hint="eastAsia" w:ascii="Cambria Math" w:hAnsi="Cambria Math" w:eastAsia="宋体" w:cs="Times New Roman"/>
                      <w:color w:val="000000"/>
                      <w:kern w:val="0"/>
                      <w:szCs w:val="24"/>
                      <w:lang w:bidi="ar"/>
                    </w:rPr>
                    <m:t>i</m:t>
                  </m:r>
                  <m:ctrlPr>
                    <w:rPr>
                      <w:rFonts w:ascii="Cambria Math" w:hAnsi="Cambria Math" w:eastAsia="宋体" w:cs="Times New Roman"/>
                      <w:color w:val="000000"/>
                      <w:kern w:val="0"/>
                      <w:szCs w:val="24"/>
                      <w:lang w:bidi="ar"/>
                    </w:rPr>
                  </m:ctrlPr>
                </m:sub>
              </m:sSub>
            </m:oMath>
            <w:r>
              <w:rPr>
                <w:rFonts w:ascii="Times New Roman" w:hAnsi="Times New Roman" w:eastAsia="宋体" w:cs="Times New Roman"/>
                <w:color w:val="000000"/>
                <w:kern w:val="0"/>
                <w:szCs w:val="24"/>
                <w:lang w:bidi="ar"/>
              </w:rPr>
              <w:t>：</w:t>
            </w:r>
          </w:p>
          <w:p>
            <w:pPr>
              <w:snapToGrid w:val="0"/>
              <w:spacing w:line="360" w:lineRule="auto"/>
              <w:jc w:val="center"/>
              <w:rPr>
                <w:rFonts w:ascii="Times New Roman" w:hAnsi="Times New Roman" w:eastAsia="宋体" w:cs="Times New Roman"/>
                <w:color w:val="000000"/>
                <w:szCs w:val="24"/>
              </w:rPr>
            </w:pPr>
            <w:r>
              <w:rPr>
                <w:rFonts w:ascii="Times New Roman" w:hAnsi="Times New Roman" w:eastAsia="宋体" w:cs="Times New Roman"/>
                <w:color w:val="000000"/>
                <w:szCs w:val="24"/>
              </w:rPr>
              <w:t>Pi=Ci/C</w:t>
            </w:r>
            <w:r>
              <w:rPr>
                <w:rFonts w:ascii="Times New Roman" w:hAnsi="Times New Roman" w:eastAsia="宋体" w:cs="Times New Roman"/>
                <w:color w:val="000000"/>
                <w:szCs w:val="24"/>
                <w:vertAlign w:val="subscript"/>
              </w:rPr>
              <w:t>oi</w:t>
            </w:r>
            <w:r>
              <w:rPr>
                <w:rFonts w:ascii="Times New Roman" w:hAnsi="Times New Roman" w:eastAsia="宋体" w:cs="Times New Roman"/>
                <w:color w:val="000000"/>
                <w:szCs w:val="24"/>
              </w:rPr>
              <w:t>×100%</w:t>
            </w:r>
          </w:p>
          <w:p>
            <w:pPr>
              <w:adjustRightInd w:val="0"/>
              <w:snapToGrid w:val="0"/>
              <w:spacing w:line="360" w:lineRule="auto"/>
              <w:ind w:firstLine="480" w:firstLineChars="200"/>
              <w:rPr>
                <w:rFonts w:ascii="Times New Roman" w:hAnsi="Times New Roman" w:eastAsia="宋体" w:cs="Times New Roman"/>
                <w:color w:val="000000"/>
                <w:szCs w:val="24"/>
              </w:rPr>
            </w:pPr>
            <w:r>
              <w:rPr>
                <w:rFonts w:ascii="Times New Roman" w:hAnsi="Times New Roman" w:eastAsia="宋体" w:cs="Times New Roman"/>
                <w:color w:val="000000"/>
                <w:szCs w:val="24"/>
              </w:rPr>
              <w:t>式中：Pi—第i个污染物的最大地面浓度占标率，%；</w:t>
            </w:r>
          </w:p>
          <w:p>
            <w:pPr>
              <w:adjustRightInd w:val="0"/>
              <w:snapToGrid w:val="0"/>
              <w:spacing w:line="360" w:lineRule="auto"/>
              <w:ind w:firstLine="1200" w:firstLineChars="500"/>
              <w:rPr>
                <w:rFonts w:ascii="Times New Roman" w:hAnsi="Times New Roman" w:eastAsia="宋体" w:cs="Times New Roman"/>
                <w:color w:val="000000"/>
                <w:szCs w:val="24"/>
              </w:rPr>
            </w:pPr>
            <w:r>
              <w:rPr>
                <w:rFonts w:ascii="Times New Roman" w:hAnsi="Times New Roman" w:eastAsia="宋体" w:cs="Times New Roman"/>
                <w:color w:val="000000"/>
                <w:szCs w:val="24"/>
              </w:rPr>
              <w:t>Ci—计算出的第i个污染物的最大地面浓度，mg/m</w:t>
            </w:r>
            <w:r>
              <w:rPr>
                <w:rFonts w:ascii="Times New Roman" w:hAnsi="Times New Roman" w:eastAsia="宋体" w:cs="Times New Roman"/>
                <w:color w:val="000000"/>
                <w:szCs w:val="24"/>
                <w:vertAlign w:val="superscript"/>
              </w:rPr>
              <w:t>3</w:t>
            </w:r>
            <w:r>
              <w:rPr>
                <w:rFonts w:ascii="Times New Roman" w:hAnsi="Times New Roman" w:eastAsia="宋体" w:cs="Times New Roman"/>
                <w:color w:val="000000"/>
                <w:szCs w:val="24"/>
              </w:rPr>
              <w:t>；</w:t>
            </w:r>
          </w:p>
          <w:p>
            <w:pPr>
              <w:adjustRightInd w:val="0"/>
              <w:snapToGrid w:val="0"/>
              <w:spacing w:line="360" w:lineRule="auto"/>
              <w:ind w:firstLine="1200" w:firstLineChars="500"/>
              <w:rPr>
                <w:rFonts w:ascii="Times New Roman" w:hAnsi="Times New Roman" w:eastAsia="宋体" w:cs="Times New Roman"/>
                <w:color w:val="000000"/>
                <w:szCs w:val="24"/>
              </w:rPr>
            </w:pPr>
            <w:r>
              <w:rPr>
                <w:rFonts w:ascii="Times New Roman" w:hAnsi="Times New Roman" w:eastAsia="宋体" w:cs="Times New Roman"/>
                <w:color w:val="000000"/>
                <w:szCs w:val="24"/>
              </w:rPr>
              <w:t>C</w:t>
            </w:r>
            <w:r>
              <w:rPr>
                <w:rFonts w:ascii="Times New Roman" w:hAnsi="Times New Roman" w:eastAsia="宋体" w:cs="Times New Roman"/>
                <w:color w:val="000000"/>
                <w:szCs w:val="24"/>
                <w:vertAlign w:val="subscript"/>
              </w:rPr>
              <w:t>oi</w:t>
            </w:r>
            <w:r>
              <w:rPr>
                <w:rFonts w:ascii="Times New Roman" w:hAnsi="Times New Roman" w:eastAsia="宋体" w:cs="Times New Roman"/>
                <w:color w:val="000000"/>
                <w:szCs w:val="24"/>
              </w:rPr>
              <w:t>—第i个污染物的环境空气质量标准，mg/m</w:t>
            </w:r>
            <w:r>
              <w:rPr>
                <w:rFonts w:ascii="Times New Roman" w:hAnsi="Times New Roman" w:eastAsia="宋体" w:cs="Times New Roman"/>
                <w:color w:val="000000"/>
                <w:szCs w:val="24"/>
                <w:vertAlign w:val="superscript"/>
              </w:rPr>
              <w:t>3</w:t>
            </w:r>
          </w:p>
          <w:p>
            <w:pPr>
              <w:adjustRightInd w:val="0"/>
              <w:snapToGrid w:val="0"/>
              <w:spacing w:line="360" w:lineRule="auto"/>
              <w:ind w:firstLine="480" w:firstLineChars="200"/>
              <w:rPr>
                <w:rFonts w:ascii="Times New Roman" w:hAnsi="Times New Roman" w:eastAsia="宋体" w:cs="Times New Roman"/>
                <w:color w:val="000000"/>
                <w:szCs w:val="24"/>
              </w:rPr>
            </w:pPr>
            <w:r>
              <w:rPr>
                <w:rFonts w:ascii="Times New Roman" w:hAnsi="Times New Roman" w:eastAsia="宋体" w:cs="Times New Roman"/>
                <w:color w:val="000000"/>
                <w:szCs w:val="24"/>
              </w:rPr>
              <w:t>评价工作等级按下表的分级判据进行划分。</w:t>
            </w:r>
          </w:p>
          <w:p>
            <w:pPr>
              <w:spacing w:line="240" w:lineRule="auto"/>
              <w:jc w:val="center"/>
              <w:rPr>
                <w:rFonts w:ascii="Times New Roman" w:hAnsi="Times New Roman" w:eastAsia="宋体" w:cs="Times New Roman"/>
                <w:b/>
                <w:color w:val="000000"/>
                <w:szCs w:val="24"/>
              </w:rPr>
            </w:pPr>
            <w:r>
              <w:rPr>
                <w:rFonts w:ascii="Times New Roman" w:hAnsi="Times New Roman" w:eastAsia="宋体" w:cs="Times New Roman"/>
                <w:b/>
                <w:color w:val="000000"/>
                <w:szCs w:val="24"/>
              </w:rPr>
              <w:t>表7-4  环境空气评价工作等级判据</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6"/>
              <w:gridCol w:w="65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2726" w:type="dxa"/>
                  <w:tcBorders>
                    <w:top w:val="single" w:color="auto" w:sz="12" w:space="0"/>
                    <w:bottom w:val="single" w:color="auto" w:sz="12" w:space="0"/>
                  </w:tcBorders>
                  <w:vAlign w:val="center"/>
                </w:tcPr>
                <w:p>
                  <w:pPr>
                    <w:spacing w:line="240"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评价工作等级</w:t>
                  </w:r>
                </w:p>
              </w:tc>
              <w:tc>
                <w:tcPr>
                  <w:tcW w:w="6515" w:type="dxa"/>
                  <w:tcBorders>
                    <w:top w:val="single" w:color="auto" w:sz="12" w:space="0"/>
                    <w:bottom w:val="single" w:color="auto" w:sz="12" w:space="0"/>
                  </w:tcBorders>
                  <w:vAlign w:val="center"/>
                </w:tcPr>
                <w:p>
                  <w:pPr>
                    <w:spacing w:line="240" w:lineRule="auto"/>
                    <w:jc w:val="center"/>
                    <w:rPr>
                      <w:rFonts w:ascii="Times New Roman" w:hAnsi="Times New Roman" w:eastAsia="宋体" w:cs="Times New Roman"/>
                      <w:b/>
                      <w:color w:val="000000"/>
                      <w:sz w:val="21"/>
                      <w:szCs w:val="21"/>
                    </w:rPr>
                  </w:pPr>
                  <w:r>
                    <w:rPr>
                      <w:rFonts w:ascii="Times New Roman" w:hAnsi="Times New Roman" w:eastAsia="宋体" w:cs="Times New Roman"/>
                      <w:b/>
                      <w:color w:val="000000"/>
                      <w:sz w:val="21"/>
                      <w:szCs w:val="21"/>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26" w:type="dxa"/>
                  <w:tcBorders>
                    <w:top w:val="single" w:color="auto" w:sz="12" w:space="0"/>
                  </w:tcBorders>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一级</w:t>
                  </w:r>
                </w:p>
              </w:tc>
              <w:tc>
                <w:tcPr>
                  <w:tcW w:w="6515" w:type="dxa"/>
                  <w:tcBorders>
                    <w:top w:val="single" w:color="auto" w:sz="12" w:space="0"/>
                  </w:tcBorders>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Pmax≥10％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26" w:type="dxa"/>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二级</w:t>
                  </w:r>
                </w:p>
              </w:tc>
              <w:tc>
                <w:tcPr>
                  <w:tcW w:w="6515" w:type="dxa"/>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1%≤Pmax＜10％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26" w:type="dxa"/>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三级</w:t>
                  </w:r>
                </w:p>
              </w:tc>
              <w:tc>
                <w:tcPr>
                  <w:tcW w:w="6515" w:type="dxa"/>
                  <w:vAlign w:val="center"/>
                </w:tcPr>
                <w:p>
                  <w:pPr>
                    <w:spacing w:line="24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Pmax＜1％</w:t>
                  </w:r>
                </w:p>
              </w:tc>
            </w:tr>
          </w:tbl>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本次评价使用《环境影响评价技术导则 大气环境》（HJ/2.2-2018）中推荐的估算模型AERSCREEN，判定运营期大气环境影响评价等级，评价选取NH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、H</w:t>
            </w:r>
            <w:r>
              <w:rPr>
                <w:rFonts w:ascii="Times New Roman" w:hAnsi="Times New Roman" w:eastAsia="宋体" w:cs="Times New Roman"/>
                <w:color w:val="000000"/>
                <w:kern w:val="0"/>
                <w:szCs w:val="24"/>
                <w:vertAlign w:val="subscript"/>
                <w:lang w:bidi="ar"/>
              </w:rPr>
              <w:t>2</w:t>
            </w:r>
            <w:r>
              <w:rPr>
                <w:rFonts w:ascii="Times New Roman" w:hAnsi="Times New Roman" w:eastAsia="宋体" w:cs="Times New Roman"/>
                <w:color w:val="000000"/>
                <w:kern w:val="0"/>
                <w:szCs w:val="24"/>
                <w:lang w:bidi="ar"/>
              </w:rPr>
              <w:t>S作为预测因子。</w:t>
            </w:r>
          </w:p>
          <w:p>
            <w:pPr>
              <w:spacing w:line="360" w:lineRule="auto"/>
              <w:ind w:firstLine="506" w:firstLineChars="200"/>
              <w:jc w:val="center"/>
              <w:rPr>
                <w:rFonts w:ascii="Times New Roman" w:hAnsi="Times New Roman" w:eastAsia="宋体" w:cs="Times New Roman"/>
                <w:spacing w:val="6"/>
                <w:szCs w:val="24"/>
              </w:rPr>
            </w:pPr>
            <w:r>
              <w:rPr>
                <w:rFonts w:hint="eastAsia" w:ascii="Times New Roman" w:hAnsi="Times New Roman" w:eastAsia="宋体" w:cs="Times New Roman"/>
                <w:b/>
                <w:bCs/>
                <w:spacing w:val="6"/>
                <w:szCs w:val="24"/>
              </w:rPr>
              <w:t>表7-</w:t>
            </w:r>
            <w:r>
              <w:rPr>
                <w:rFonts w:ascii="Times New Roman" w:hAnsi="Times New Roman" w:eastAsia="宋体" w:cs="Times New Roman"/>
                <w:b/>
                <w:bCs/>
                <w:spacing w:val="6"/>
                <w:szCs w:val="24"/>
              </w:rPr>
              <w:t xml:space="preserve">5  </w:t>
            </w:r>
            <w:r>
              <w:rPr>
                <w:rFonts w:ascii="Times New Roman" w:hAnsi="Times New Roman" w:eastAsia="宋体" w:cs="Times New Roman"/>
                <w:b/>
                <w:spacing w:val="6"/>
                <w:szCs w:val="24"/>
              </w:rPr>
              <w:t>NH</w:t>
            </w:r>
            <w:r>
              <w:rPr>
                <w:rFonts w:ascii="Times New Roman" w:hAnsi="Times New Roman" w:eastAsia="宋体" w:cs="Times New Roman"/>
                <w:b/>
                <w:spacing w:val="6"/>
                <w:szCs w:val="24"/>
                <w:vertAlign w:val="subscript"/>
              </w:rPr>
              <w:t>3</w:t>
            </w:r>
            <w:r>
              <w:rPr>
                <w:rFonts w:ascii="Times New Roman" w:hAnsi="Times New Roman" w:eastAsia="宋体" w:cs="Times New Roman"/>
                <w:b/>
                <w:spacing w:val="6"/>
                <w:szCs w:val="24"/>
              </w:rPr>
              <w:t>、H</w:t>
            </w:r>
            <w:r>
              <w:rPr>
                <w:rFonts w:ascii="Times New Roman" w:hAnsi="Times New Roman" w:eastAsia="宋体" w:cs="Times New Roman"/>
                <w:b/>
                <w:spacing w:val="6"/>
                <w:szCs w:val="24"/>
                <w:vertAlign w:val="subscript"/>
              </w:rPr>
              <w:t>2</w:t>
            </w:r>
            <w:r>
              <w:rPr>
                <w:rFonts w:ascii="Times New Roman" w:hAnsi="Times New Roman" w:eastAsia="宋体" w:cs="Times New Roman"/>
                <w:b/>
                <w:spacing w:val="6"/>
                <w:szCs w:val="24"/>
              </w:rPr>
              <w:t>S</w:t>
            </w:r>
            <w:r>
              <w:rPr>
                <w:rFonts w:hint="eastAsia" w:ascii="Times New Roman" w:hAnsi="Times New Roman" w:eastAsia="宋体" w:cs="Times New Roman"/>
                <w:b/>
                <w:bCs/>
                <w:spacing w:val="6"/>
                <w:szCs w:val="24"/>
              </w:rPr>
              <w:t>无组织污染源源强参数一览表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64"/>
              <w:gridCol w:w="1155"/>
              <w:gridCol w:w="1069"/>
              <w:gridCol w:w="1495"/>
              <w:gridCol w:w="1177"/>
              <w:gridCol w:w="1477"/>
              <w:gridCol w:w="160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64" w:type="dxa"/>
                  <w:vMerge w:val="restart"/>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面源</w:t>
                  </w:r>
                </w:p>
              </w:tc>
              <w:tc>
                <w:tcPr>
                  <w:tcW w:w="1155" w:type="dxa"/>
                  <w:vMerge w:val="restart"/>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面源长度</w:t>
                  </w:r>
                </w:p>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（m）</w:t>
                  </w:r>
                </w:p>
              </w:tc>
              <w:tc>
                <w:tcPr>
                  <w:tcW w:w="1069" w:type="dxa"/>
                  <w:vMerge w:val="restart"/>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面源宽度 （m）</w:t>
                  </w:r>
                </w:p>
              </w:tc>
              <w:tc>
                <w:tcPr>
                  <w:tcW w:w="1495" w:type="dxa"/>
                  <w:vMerge w:val="restart"/>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面源高度（m）</w:t>
                  </w:r>
                </w:p>
              </w:tc>
              <w:tc>
                <w:tcPr>
                  <w:tcW w:w="1177" w:type="dxa"/>
                  <w:vMerge w:val="restart"/>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与正北夹角（度）</w:t>
                  </w:r>
                </w:p>
              </w:tc>
              <w:tc>
                <w:tcPr>
                  <w:tcW w:w="3081" w:type="dxa"/>
                  <w:gridSpan w:val="2"/>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hint="eastAsia" w:ascii="Times New Roman" w:hAnsi="Times New Roman" w:eastAsia="宋体" w:cs="Times New Roman"/>
                      <w:b/>
                      <w:bCs/>
                      <w:spacing w:val="2"/>
                      <w:position w:val="-3"/>
                      <w:sz w:val="21"/>
                      <w:szCs w:val="21"/>
                    </w:rPr>
                    <w:t>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64" w:type="dxa"/>
                  <w:vMerge w:val="continue"/>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z w:val="21"/>
                      <w:szCs w:val="21"/>
                    </w:rPr>
                  </w:pPr>
                </w:p>
              </w:tc>
              <w:tc>
                <w:tcPr>
                  <w:tcW w:w="1155" w:type="dxa"/>
                  <w:vMerge w:val="continue"/>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z w:val="21"/>
                      <w:szCs w:val="21"/>
                    </w:rPr>
                  </w:pPr>
                </w:p>
              </w:tc>
              <w:tc>
                <w:tcPr>
                  <w:tcW w:w="1069" w:type="dxa"/>
                  <w:vMerge w:val="continue"/>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z w:val="21"/>
                      <w:szCs w:val="21"/>
                    </w:rPr>
                  </w:pPr>
                </w:p>
              </w:tc>
              <w:tc>
                <w:tcPr>
                  <w:tcW w:w="1495" w:type="dxa"/>
                  <w:vMerge w:val="continue"/>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p>
              </w:tc>
              <w:tc>
                <w:tcPr>
                  <w:tcW w:w="1177" w:type="dxa"/>
                  <w:vMerge w:val="continue"/>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z w:val="21"/>
                      <w:szCs w:val="21"/>
                    </w:rPr>
                  </w:pPr>
                </w:p>
              </w:tc>
              <w:tc>
                <w:tcPr>
                  <w:tcW w:w="1477" w:type="dxa"/>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ascii="Times New Roman" w:hAnsi="Times New Roman" w:eastAsia="宋体" w:cs="Times New Roman"/>
                      <w:b/>
                      <w:bCs/>
                      <w:sz w:val="21"/>
                      <w:szCs w:val="24"/>
                    </w:rPr>
                    <w:t>NH</w:t>
                  </w:r>
                  <w:r>
                    <w:rPr>
                      <w:rFonts w:ascii="Times New Roman" w:hAnsi="Times New Roman" w:eastAsia="宋体" w:cs="Times New Roman"/>
                      <w:b/>
                      <w:bCs/>
                      <w:sz w:val="21"/>
                      <w:szCs w:val="24"/>
                      <w:vertAlign w:val="subscript"/>
                    </w:rPr>
                    <w:t>3</w:t>
                  </w:r>
                </w:p>
              </w:tc>
              <w:tc>
                <w:tcPr>
                  <w:tcW w:w="1604" w:type="dxa"/>
                  <w:tcBorders>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b/>
                      <w:bCs/>
                      <w:spacing w:val="2"/>
                      <w:position w:val="-3"/>
                      <w:sz w:val="21"/>
                      <w:szCs w:val="21"/>
                    </w:rPr>
                  </w:pPr>
                  <w:r>
                    <w:rPr>
                      <w:rFonts w:ascii="Times New Roman" w:hAnsi="Times New Roman" w:eastAsia="宋体" w:cs="Times New Roman"/>
                      <w:b/>
                      <w:bCs/>
                      <w:sz w:val="21"/>
                      <w:szCs w:val="24"/>
                    </w:rPr>
                    <w:t>H</w:t>
                  </w:r>
                  <w:r>
                    <w:rPr>
                      <w:rFonts w:ascii="Times New Roman" w:hAnsi="Times New Roman" w:eastAsia="宋体" w:cs="Times New Roman"/>
                      <w:b/>
                      <w:bCs/>
                      <w:sz w:val="21"/>
                      <w:szCs w:val="24"/>
                      <w:vertAlign w:val="subscript"/>
                    </w:rPr>
                    <w:t>2</w:t>
                  </w:r>
                  <w:r>
                    <w:rPr>
                      <w:rFonts w:ascii="Times New Roman" w:hAnsi="Times New Roman" w:eastAsia="宋体" w:cs="Times New Roman"/>
                      <w:b/>
                      <w:bCs/>
                      <w:sz w:val="21"/>
                      <w:szCs w:val="24"/>
                    </w:rPr>
                    <w:t>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64"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hint="eastAsia" w:ascii="Times New Roman" w:hAnsi="Times New Roman" w:eastAsia="宋体" w:cs="Times New Roman"/>
                      <w:spacing w:val="2"/>
                      <w:position w:val="-3"/>
                      <w:sz w:val="21"/>
                      <w:szCs w:val="21"/>
                    </w:rPr>
                    <w:t>污水处理站</w:t>
                  </w:r>
                </w:p>
              </w:tc>
              <w:tc>
                <w:tcPr>
                  <w:tcW w:w="1155"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ascii="Times New Roman" w:hAnsi="Times New Roman" w:eastAsia="宋体" w:cs="Times New Roman"/>
                      <w:spacing w:val="2"/>
                      <w:position w:val="-3"/>
                      <w:sz w:val="21"/>
                      <w:szCs w:val="21"/>
                    </w:rPr>
                    <w:t>1</w:t>
                  </w:r>
                  <w:r>
                    <w:rPr>
                      <w:rFonts w:hint="eastAsia" w:ascii="Times New Roman" w:hAnsi="Times New Roman" w:eastAsia="宋体" w:cs="Times New Roman"/>
                      <w:spacing w:val="2"/>
                      <w:position w:val="-3"/>
                      <w:sz w:val="21"/>
                      <w:szCs w:val="21"/>
                    </w:rPr>
                    <w:t>0</w:t>
                  </w:r>
                </w:p>
              </w:tc>
              <w:tc>
                <w:tcPr>
                  <w:tcW w:w="1069"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ascii="Times New Roman" w:hAnsi="Times New Roman" w:eastAsia="宋体" w:cs="Times New Roman"/>
                      <w:spacing w:val="2"/>
                      <w:position w:val="-3"/>
                      <w:sz w:val="21"/>
                      <w:szCs w:val="21"/>
                    </w:rPr>
                    <w:t>10</w:t>
                  </w:r>
                </w:p>
              </w:tc>
              <w:tc>
                <w:tcPr>
                  <w:tcW w:w="1495"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ascii="Times New Roman" w:hAnsi="Times New Roman" w:eastAsia="宋体" w:cs="Times New Roman"/>
                      <w:spacing w:val="2"/>
                      <w:position w:val="-3"/>
                      <w:sz w:val="21"/>
                      <w:szCs w:val="21"/>
                    </w:rPr>
                    <w:t>1.5</w:t>
                  </w:r>
                </w:p>
              </w:tc>
              <w:tc>
                <w:tcPr>
                  <w:tcW w:w="1177"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hint="eastAsia" w:ascii="Times New Roman" w:hAnsi="Times New Roman" w:eastAsia="宋体" w:cs="Times New Roman"/>
                      <w:spacing w:val="2"/>
                      <w:position w:val="-3"/>
                      <w:sz w:val="21"/>
                      <w:szCs w:val="21"/>
                    </w:rPr>
                    <w:t>15°</w:t>
                  </w:r>
                </w:p>
              </w:tc>
              <w:tc>
                <w:tcPr>
                  <w:tcW w:w="1477"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pacing w:val="2"/>
                      <w:position w:val="-3"/>
                      <w:sz w:val="21"/>
                      <w:szCs w:val="21"/>
                    </w:rPr>
                  </w:pPr>
                  <w:r>
                    <w:rPr>
                      <w:rFonts w:hint="eastAsia" w:ascii="Times New Roman" w:hAnsi="Times New Roman" w:eastAsia="宋体" w:cs="Times New Roman"/>
                      <w:spacing w:val="2"/>
                      <w:position w:val="-3"/>
                      <w:sz w:val="21"/>
                      <w:szCs w:val="21"/>
                    </w:rPr>
                    <w:t>0.00</w:t>
                  </w:r>
                  <w:r>
                    <w:rPr>
                      <w:rFonts w:ascii="Times New Roman" w:hAnsi="Times New Roman" w:eastAsia="宋体" w:cs="Times New Roman"/>
                      <w:spacing w:val="2"/>
                      <w:position w:val="-3"/>
                      <w:sz w:val="21"/>
                      <w:szCs w:val="21"/>
                    </w:rPr>
                    <w:t>43</w:t>
                  </w:r>
                  <w:r>
                    <w:rPr>
                      <w:rFonts w:hint="eastAsia" w:ascii="Times New Roman" w:hAnsi="Times New Roman" w:eastAsia="宋体" w:cs="Times New Roman"/>
                      <w:spacing w:val="2"/>
                      <w:position w:val="-3"/>
                      <w:sz w:val="21"/>
                      <w:szCs w:val="21"/>
                    </w:rPr>
                    <w:t>8</w:t>
                  </w:r>
                </w:p>
              </w:tc>
              <w:tc>
                <w:tcPr>
                  <w:tcW w:w="1604" w:type="dxa"/>
                  <w:tcBorders>
                    <w:top w:val="single" w:color="auto" w:sz="12" w:space="0"/>
                    <w:bottom w:val="single" w:color="auto" w:sz="12" w:space="0"/>
                  </w:tcBorders>
                  <w:vAlign w:val="center"/>
                </w:tcPr>
                <w:p>
                  <w:pPr>
                    <w:tabs>
                      <w:tab w:val="left" w:pos="3620"/>
                    </w:tabs>
                    <w:spacing w:before="26" w:line="240" w:lineRule="auto"/>
                    <w:ind w:right="-2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0.000</w:t>
                  </w:r>
                  <w:r>
                    <w:rPr>
                      <w:rFonts w:ascii="Times New Roman" w:hAnsi="Times New Roman" w:eastAsia="宋体" w:cs="Times New Roman"/>
                      <w:sz w:val="21"/>
                      <w:szCs w:val="21"/>
                    </w:rPr>
                    <w:t>17</w:t>
                  </w:r>
                </w:p>
              </w:tc>
            </w:tr>
          </w:tbl>
          <w:p>
            <w:pPr>
              <w:spacing w:line="240" w:lineRule="auto"/>
              <w:rPr>
                <w:rFonts w:ascii="Times New Roman" w:hAnsi="Times New Roman" w:eastAsia="宋体" w:cs="Times New Roman"/>
                <w:b/>
                <w:color w:val="000000"/>
                <w:szCs w:val="24"/>
              </w:rPr>
            </w:pPr>
          </w:p>
          <w:p>
            <w:pPr>
              <w:spacing w:line="240" w:lineRule="auto"/>
              <w:jc w:val="center"/>
              <w:rPr>
                <w:rFonts w:ascii="Times New Roman" w:hAnsi="Times New Roman" w:eastAsia="宋体" w:cs="Times New Roman"/>
                <w:b/>
                <w:color w:val="000000"/>
                <w:szCs w:val="24"/>
              </w:rPr>
            </w:pPr>
            <w:r>
              <w:rPr>
                <w:rFonts w:ascii="Times New Roman" w:hAnsi="Times New Roman" w:eastAsia="宋体" w:cs="Times New Roman"/>
                <w:b/>
                <w:color w:val="000000"/>
                <w:szCs w:val="24"/>
              </w:rPr>
              <w:t>表7-6  估算模型参数表</w:t>
            </w:r>
          </w:p>
          <w:tbl>
            <w:tblPr>
              <w:tblStyle w:val="2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82"/>
              <w:gridCol w:w="3226"/>
              <w:gridCol w:w="343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08" w:type="dxa"/>
                  <w:gridSpan w:val="2"/>
                  <w:tcBorders>
                    <w:top w:val="single" w:color="auto" w:sz="12" w:space="0"/>
                    <w:bottom w:val="single" w:color="auto" w:sz="12" w:space="0"/>
                  </w:tcBorders>
                  <w:vAlign w:val="center"/>
                </w:tcPr>
                <w:p>
                  <w:pPr>
                    <w:spacing w:line="240" w:lineRule="auto"/>
                    <w:jc w:val="center"/>
                    <w:rPr>
                      <w:rFonts w:ascii="Times New Roman" w:hAnsi="Times New Roman" w:eastAsia="宋体" w:cs="Times New Roman"/>
                      <w:b/>
                      <w:bCs/>
                      <w:spacing w:val="6"/>
                      <w:sz w:val="21"/>
                      <w:szCs w:val="21"/>
                    </w:rPr>
                  </w:pPr>
                  <w:r>
                    <w:rPr>
                      <w:rFonts w:hint="eastAsia" w:ascii="Times New Roman" w:hAnsi="Times New Roman" w:eastAsia="宋体" w:cs="Times New Roman"/>
                      <w:b/>
                      <w:bCs/>
                      <w:spacing w:val="6"/>
                      <w:sz w:val="21"/>
                      <w:szCs w:val="21"/>
                    </w:rPr>
                    <w:t>参数</w:t>
                  </w:r>
                </w:p>
              </w:tc>
              <w:tc>
                <w:tcPr>
                  <w:tcW w:w="3433" w:type="dxa"/>
                  <w:tcBorders>
                    <w:top w:val="single" w:color="auto" w:sz="12" w:space="0"/>
                    <w:bottom w:val="single" w:color="auto" w:sz="12" w:space="0"/>
                  </w:tcBorders>
                  <w:vAlign w:val="center"/>
                </w:tcPr>
                <w:p>
                  <w:pPr>
                    <w:spacing w:line="240" w:lineRule="auto"/>
                    <w:jc w:val="center"/>
                    <w:rPr>
                      <w:rFonts w:ascii="Times New Roman" w:hAnsi="Times New Roman" w:eastAsia="宋体" w:cs="Times New Roman"/>
                      <w:b/>
                      <w:bCs/>
                      <w:spacing w:val="6"/>
                      <w:sz w:val="21"/>
                      <w:szCs w:val="21"/>
                    </w:rPr>
                  </w:pPr>
                  <w:r>
                    <w:rPr>
                      <w:rFonts w:hint="eastAsia" w:ascii="Times New Roman" w:hAnsi="Times New Roman" w:eastAsia="宋体" w:cs="Times New Roman"/>
                      <w:b/>
                      <w:bCs/>
                      <w:spacing w:val="6"/>
                      <w:sz w:val="21"/>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restart"/>
                  <w:tcBorders>
                    <w:top w:val="single" w:color="auto" w:sz="12" w:space="0"/>
                  </w:tcBorders>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城市/农村选项</w:t>
                  </w:r>
                </w:p>
              </w:tc>
              <w:tc>
                <w:tcPr>
                  <w:tcW w:w="3226" w:type="dxa"/>
                  <w:tcBorders>
                    <w:top w:val="single" w:color="auto" w:sz="12" w:space="0"/>
                  </w:tcBorders>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城市/农村</w:t>
                  </w:r>
                </w:p>
              </w:tc>
              <w:tc>
                <w:tcPr>
                  <w:tcW w:w="3433" w:type="dxa"/>
                  <w:tcBorders>
                    <w:top w:val="single" w:color="auto" w:sz="12" w:space="0"/>
                  </w:tcBorders>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continue"/>
                  <w:vAlign w:val="center"/>
                </w:tcPr>
                <w:p>
                  <w:pPr>
                    <w:spacing w:line="240" w:lineRule="auto"/>
                    <w:ind w:left="480" w:leftChars="200" w:firstLine="630"/>
                    <w:jc w:val="center"/>
                    <w:rPr>
                      <w:rFonts w:ascii="Times New Roman" w:hAnsi="Times New Roman" w:eastAsia="宋体" w:cs="Times New Roman"/>
                      <w:spacing w:val="6"/>
                      <w:sz w:val="21"/>
                      <w:szCs w:val="21"/>
                    </w:rPr>
                  </w:pP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人口数（城市选项时）</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30万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08" w:type="dxa"/>
                  <w:gridSpan w:val="2"/>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最高环境温度（℃）</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39.3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08" w:type="dxa"/>
                  <w:gridSpan w:val="2"/>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最低环境温度（℃）</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-11.4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08" w:type="dxa"/>
                  <w:gridSpan w:val="2"/>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土地利用类型</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08" w:type="dxa"/>
                  <w:gridSpan w:val="2"/>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区域温度条件</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潮湿气候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restart"/>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是否考虑地形</w:t>
                  </w: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考虑地形</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sym w:font="Wingdings 2" w:char="00A3"/>
                  </w:r>
                  <w:r>
                    <w:rPr>
                      <w:rFonts w:hint="eastAsia" w:ascii="Times New Roman" w:hAnsi="Times New Roman" w:eastAsia="宋体" w:cs="Times New Roman"/>
                      <w:spacing w:val="6"/>
                      <w:sz w:val="21"/>
                      <w:szCs w:val="21"/>
                    </w:rPr>
                    <w:t xml:space="preserve">是    </w:t>
                  </w:r>
                  <w:r>
                    <w:rPr>
                      <w:rFonts w:hint="eastAsia" w:ascii="Times New Roman" w:hAnsi="Times New Roman" w:eastAsia="宋体" w:cs="Times New Roman"/>
                      <w:spacing w:val="6"/>
                      <w:sz w:val="21"/>
                      <w:szCs w:val="21"/>
                    </w:rPr>
                    <w:sym w:font="Wingdings 2" w:char="0052"/>
                  </w:r>
                  <w:r>
                    <w:rPr>
                      <w:rFonts w:hint="eastAsia" w:ascii="Times New Roman" w:hAnsi="Times New Roman" w:eastAsia="宋体" w:cs="Times New Roman"/>
                      <w:spacing w:val="6"/>
                      <w:sz w:val="21"/>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continue"/>
                  <w:vAlign w:val="center"/>
                </w:tcPr>
                <w:p>
                  <w:pPr>
                    <w:spacing w:line="240" w:lineRule="auto"/>
                    <w:ind w:left="480" w:leftChars="200" w:firstLine="630"/>
                    <w:jc w:val="center"/>
                    <w:rPr>
                      <w:rFonts w:ascii="Times New Roman" w:hAnsi="Times New Roman" w:eastAsia="宋体" w:cs="Times New Roman"/>
                      <w:spacing w:val="6"/>
                      <w:sz w:val="21"/>
                      <w:szCs w:val="21"/>
                    </w:rPr>
                  </w:pP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地形数据分辨率/m</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restart"/>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是否考虑岸线熏烟</w:t>
                  </w: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考虑岸线熏烟</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sym w:font="Wingdings 2" w:char="00A3"/>
                  </w:r>
                  <w:r>
                    <w:rPr>
                      <w:rFonts w:hint="eastAsia" w:ascii="Times New Roman" w:hAnsi="Times New Roman" w:eastAsia="宋体" w:cs="Times New Roman"/>
                      <w:spacing w:val="6"/>
                      <w:sz w:val="21"/>
                      <w:szCs w:val="21"/>
                    </w:rPr>
                    <w:t xml:space="preserve">是    </w:t>
                  </w:r>
                  <w:r>
                    <w:rPr>
                      <w:rFonts w:hint="eastAsia" w:ascii="Times New Roman" w:hAnsi="Times New Roman" w:eastAsia="宋体" w:cs="Times New Roman"/>
                      <w:spacing w:val="6"/>
                      <w:sz w:val="21"/>
                      <w:szCs w:val="21"/>
                    </w:rPr>
                    <w:sym w:font="Wingdings 2" w:char="0052"/>
                  </w:r>
                  <w:r>
                    <w:rPr>
                      <w:rFonts w:hint="eastAsia" w:ascii="Times New Roman" w:hAnsi="Times New Roman" w:eastAsia="宋体" w:cs="Times New Roman"/>
                      <w:spacing w:val="6"/>
                      <w:sz w:val="21"/>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continue"/>
                  <w:vAlign w:val="center"/>
                </w:tcPr>
                <w:p>
                  <w:pPr>
                    <w:spacing w:line="240" w:lineRule="auto"/>
                    <w:ind w:left="480" w:leftChars="200" w:firstLine="630"/>
                    <w:jc w:val="center"/>
                    <w:rPr>
                      <w:rFonts w:ascii="Times New Roman" w:hAnsi="Times New Roman" w:eastAsia="宋体" w:cs="Times New Roman"/>
                      <w:spacing w:val="6"/>
                      <w:sz w:val="21"/>
                      <w:szCs w:val="21"/>
                    </w:rPr>
                  </w:pP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岸线距离</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2" w:type="dxa"/>
                  <w:vMerge w:val="continue"/>
                  <w:vAlign w:val="center"/>
                </w:tcPr>
                <w:p>
                  <w:pPr>
                    <w:spacing w:line="240" w:lineRule="auto"/>
                    <w:ind w:left="480" w:leftChars="200" w:firstLine="630"/>
                    <w:jc w:val="center"/>
                    <w:rPr>
                      <w:rFonts w:ascii="Times New Roman" w:hAnsi="Times New Roman" w:eastAsia="宋体" w:cs="Times New Roman"/>
                      <w:spacing w:val="6"/>
                      <w:sz w:val="21"/>
                      <w:szCs w:val="21"/>
                    </w:rPr>
                  </w:pPr>
                </w:p>
              </w:tc>
              <w:tc>
                <w:tcPr>
                  <w:tcW w:w="3226"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岸线方向/°</w:t>
                  </w:r>
                </w:p>
              </w:tc>
              <w:tc>
                <w:tcPr>
                  <w:tcW w:w="3433" w:type="dxa"/>
                  <w:vAlign w:val="center"/>
                </w:tcPr>
                <w:p>
                  <w:pPr>
                    <w:spacing w:line="240" w:lineRule="auto"/>
                    <w:jc w:val="center"/>
                    <w:rPr>
                      <w:rFonts w:ascii="Times New Roman" w:hAnsi="Times New Roman" w:eastAsia="宋体" w:cs="Times New Roman"/>
                      <w:spacing w:val="6"/>
                      <w:sz w:val="21"/>
                      <w:szCs w:val="21"/>
                    </w:rPr>
                  </w:pPr>
                  <w:r>
                    <w:rPr>
                      <w:rFonts w:hint="eastAsia" w:ascii="Times New Roman" w:hAnsi="Times New Roman" w:eastAsia="宋体" w:cs="Times New Roman"/>
                      <w:spacing w:val="6"/>
                      <w:sz w:val="21"/>
                      <w:szCs w:val="21"/>
                    </w:rPr>
                    <w:t>/</w:t>
                  </w:r>
                </w:p>
              </w:tc>
            </w:tr>
          </w:tbl>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szCs w:val="24"/>
              </w:rPr>
              <w:t>采</w:t>
            </w:r>
            <w:r>
              <w:rPr>
                <w:rFonts w:ascii="Times New Roman" w:hAnsi="Times New Roman" w:eastAsia="宋体" w:cs="Times New Roman"/>
                <w:color w:val="000000"/>
                <w:kern w:val="0"/>
                <w:szCs w:val="24"/>
                <w:lang w:bidi="ar"/>
              </w:rPr>
              <w:t>用《环境影响评价技术导则-大气环境》（HJ2.2-2018）推荐的估算模式AERSCREEN进行计算，预测结果如下</w:t>
            </w:r>
            <w:r>
              <w:rPr>
                <w:rFonts w:hint="eastAsia" w:ascii="Times New Roman" w:hAnsi="Times New Roman" w:eastAsia="宋体" w:cs="Times New Roman"/>
                <w:color w:val="000000"/>
                <w:kern w:val="0"/>
                <w:szCs w:val="24"/>
                <w:lang w:bidi="ar"/>
              </w:rPr>
              <w:t>：</w:t>
            </w:r>
          </w:p>
          <w:p>
            <w:pPr>
              <w:pStyle w:val="2"/>
              <w:rPr>
                <w:lang w:bidi="ar"/>
              </w:rPr>
            </w:pPr>
          </w:p>
          <w:p>
            <w:pPr>
              <w:pStyle w:val="2"/>
              <w:rPr>
                <w:lang w:bidi="ar"/>
              </w:rPr>
            </w:pPr>
          </w:p>
          <w:p>
            <w:pPr>
              <w:pStyle w:val="2"/>
              <w:rPr>
                <w:lang w:bidi="ar"/>
              </w:rPr>
            </w:pPr>
            <w:r>
              <w:rPr>
                <w:rFonts w:ascii="Calibri" w:hAnsi="Calibri" w:eastAsia="宋体" w:cs="Times New Roman"/>
                <w:sz w:val="21"/>
                <w:szCs w:val="24"/>
              </w:rPr>
              <w:drawing>
                <wp:anchor distT="0" distB="0" distL="114300" distR="114300" simplePos="0" relativeHeight="251625472" behindDoc="0" locked="0" layoutInCell="1" allowOverlap="1">
                  <wp:simplePos x="0" y="0"/>
                  <wp:positionH relativeFrom="margin">
                    <wp:posOffset>504190</wp:posOffset>
                  </wp:positionH>
                  <wp:positionV relativeFrom="paragraph">
                    <wp:posOffset>57785</wp:posOffset>
                  </wp:positionV>
                  <wp:extent cx="4885055" cy="3787140"/>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85200" cy="3787200"/>
                          </a:xfrm>
                          <a:prstGeom prst="rect">
                            <a:avLst/>
                          </a:prstGeom>
                          <a:noFill/>
                          <a:ln>
                            <a:noFill/>
                          </a:ln>
                        </pic:spPr>
                      </pic:pic>
                    </a:graphicData>
                  </a:graphic>
                </wp:anchor>
              </w:drawing>
            </w: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spacing w:line="240" w:lineRule="auto"/>
              <w:jc w:val="center"/>
              <w:rPr>
                <w:rFonts w:ascii="Times New Roman" w:hAnsi="Times New Roman" w:eastAsia="宋体" w:cs="Times New Roman"/>
                <w:sz w:val="21"/>
                <w:szCs w:val="24"/>
              </w:rPr>
            </w:pPr>
          </w:p>
          <w:p>
            <w:pPr>
              <w:autoSpaceDE w:val="0"/>
              <w:autoSpaceDN w:val="0"/>
              <w:adjustRightInd w:val="0"/>
              <w:spacing w:line="360" w:lineRule="auto"/>
              <w:jc w:val="center"/>
              <w:rPr>
                <w:rFonts w:ascii="Times New Roman" w:hAnsi="Times New Roman" w:eastAsia="宋体" w:cs="Times New Roman"/>
                <w:b/>
                <w:bCs/>
                <w:kern w:val="0"/>
                <w:szCs w:val="24"/>
              </w:rPr>
            </w:pPr>
            <w:r>
              <w:rPr>
                <w:rFonts w:ascii="Times New Roman" w:hAnsi="Times New Roman" w:eastAsia="宋体" w:cs="Times New Roman"/>
                <w:b/>
                <w:bCs/>
                <w:kern w:val="0"/>
                <w:szCs w:val="24"/>
              </w:rPr>
              <w:t>图7-1  硫化氢、氨气</w:t>
            </w:r>
            <w:r>
              <w:rPr>
                <w:rFonts w:hint="eastAsia" w:ascii="Times New Roman" w:hAnsi="Times New Roman" w:eastAsia="宋体" w:cs="Times New Roman"/>
                <w:b/>
                <w:bCs/>
                <w:kern w:val="0"/>
                <w:szCs w:val="24"/>
              </w:rPr>
              <w:t>无组织排放预测结果图，</w:t>
            </w:r>
            <w:r>
              <w:rPr>
                <w:rFonts w:ascii="Times New Roman" w:hAnsi="Times New Roman" w:eastAsia="宋体" w:cs="Times New Roman"/>
                <w:b/>
                <w:bCs/>
                <w:kern w:val="0"/>
                <w:szCs w:val="24"/>
              </w:rPr>
              <w:t>浓度</w:t>
            </w:r>
          </w:p>
          <w:p>
            <w:pPr>
              <w:autoSpaceDE w:val="0"/>
              <w:autoSpaceDN w:val="0"/>
              <w:adjustRightInd w:val="0"/>
              <w:spacing w:line="240" w:lineRule="auto"/>
              <w:jc w:val="center"/>
              <w:rPr>
                <w:rFonts w:ascii="Times New Roman" w:hAnsi="Times New Roman" w:eastAsia="宋体" w:cs="Times New Roman"/>
                <w:b/>
                <w:bCs/>
                <w:kern w:val="0"/>
                <w:szCs w:val="24"/>
              </w:rPr>
            </w:pPr>
            <w:r>
              <w:rPr>
                <w:rFonts w:ascii="宋体" w:hAnsi="Calibri" w:eastAsia="宋体" w:cs="宋体"/>
                <w:color w:val="000000"/>
                <w:kern w:val="0"/>
                <w:szCs w:val="24"/>
              </w:rPr>
              <w:drawing>
                <wp:anchor distT="0" distB="0" distL="114300" distR="114300" simplePos="0" relativeHeight="251630592" behindDoc="0" locked="0" layoutInCell="1" allowOverlap="1">
                  <wp:simplePos x="0" y="0"/>
                  <wp:positionH relativeFrom="column">
                    <wp:posOffset>469900</wp:posOffset>
                  </wp:positionH>
                  <wp:positionV relativeFrom="paragraph">
                    <wp:posOffset>57150</wp:posOffset>
                  </wp:positionV>
                  <wp:extent cx="4968240" cy="3794125"/>
                  <wp:effectExtent l="0" t="0" r="381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68597" cy="3794398"/>
                          </a:xfrm>
                          <a:prstGeom prst="rect">
                            <a:avLst/>
                          </a:prstGeom>
                          <a:noFill/>
                          <a:ln>
                            <a:noFill/>
                          </a:ln>
                        </pic:spPr>
                      </pic:pic>
                    </a:graphicData>
                  </a:graphic>
                </wp:anchor>
              </w:drawing>
            </w:r>
          </w:p>
          <w:p>
            <w:pPr>
              <w:autoSpaceDE w:val="0"/>
              <w:autoSpaceDN w:val="0"/>
              <w:adjustRightInd w:val="0"/>
              <w:spacing w:line="240" w:lineRule="auto"/>
              <w:jc w:val="center"/>
              <w:rPr>
                <w:rFonts w:ascii="Times New Roman" w:hAnsi="Times New Roman" w:eastAsia="宋体" w:cs="Times New Roman"/>
                <w:b/>
                <w:bCs/>
                <w:kern w:val="0"/>
                <w:szCs w:val="24"/>
              </w:rPr>
            </w:pPr>
          </w:p>
          <w:p>
            <w:pPr>
              <w:autoSpaceDE w:val="0"/>
              <w:autoSpaceDN w:val="0"/>
              <w:adjustRightInd w:val="0"/>
              <w:spacing w:line="240" w:lineRule="auto"/>
              <w:jc w:val="center"/>
              <w:rPr>
                <w:rFonts w:ascii="Times New Roman" w:hAnsi="Times New Roman" w:eastAsia="宋体" w:cs="Times New Roman"/>
                <w:b/>
                <w:bCs/>
                <w:kern w:val="0"/>
                <w:szCs w:val="24"/>
              </w:rPr>
            </w:pPr>
          </w:p>
          <w:p>
            <w:pPr>
              <w:pStyle w:val="2"/>
            </w:pPr>
          </w:p>
          <w:p>
            <w:pPr>
              <w:autoSpaceDE w:val="0"/>
              <w:autoSpaceDN w:val="0"/>
              <w:adjustRightInd w:val="0"/>
              <w:spacing w:line="240" w:lineRule="auto"/>
              <w:jc w:val="center"/>
              <w:rPr>
                <w:rFonts w:ascii="Times New Roman" w:hAnsi="Times New Roman" w:eastAsia="宋体" w:cs="Times New Roman"/>
                <w:b/>
                <w:bCs/>
                <w:kern w:val="0"/>
                <w:szCs w:val="24"/>
              </w:rPr>
            </w:pPr>
          </w:p>
          <w:p>
            <w:pPr>
              <w:autoSpaceDE w:val="0"/>
              <w:autoSpaceDN w:val="0"/>
              <w:adjustRightInd w:val="0"/>
              <w:spacing w:line="240" w:lineRule="auto"/>
              <w:jc w:val="center"/>
              <w:rPr>
                <w:rFonts w:ascii="Times New Roman" w:hAnsi="Times New Roman" w:eastAsia="宋体" w:cs="Times New Roman"/>
                <w:b/>
                <w:bCs/>
                <w:kern w:val="0"/>
                <w:szCs w:val="24"/>
              </w:rPr>
            </w:pPr>
          </w:p>
          <w:p>
            <w:pPr>
              <w:pStyle w:val="2"/>
            </w:pPr>
          </w:p>
          <w:p>
            <w:pPr>
              <w:pStyle w:val="2"/>
            </w:pPr>
          </w:p>
          <w:p>
            <w:pPr>
              <w:pStyle w:val="2"/>
              <w:spacing w:after="468" w:afterLines="150" w:line="240" w:lineRule="auto"/>
            </w:pPr>
          </w:p>
          <w:p>
            <w:pPr>
              <w:pStyle w:val="2"/>
            </w:pPr>
          </w:p>
          <w:p>
            <w:pPr>
              <w:autoSpaceDE w:val="0"/>
              <w:autoSpaceDN w:val="0"/>
              <w:adjustRightInd w:val="0"/>
              <w:spacing w:line="240" w:lineRule="auto"/>
              <w:jc w:val="center"/>
              <w:rPr>
                <w:rFonts w:ascii="Times New Roman" w:hAnsi="Times New Roman" w:eastAsia="宋体" w:cs="Times New Roman"/>
                <w:b/>
                <w:bCs/>
                <w:kern w:val="0"/>
                <w:szCs w:val="24"/>
              </w:rPr>
            </w:pPr>
          </w:p>
          <w:p>
            <w:pPr>
              <w:autoSpaceDE w:val="0"/>
              <w:autoSpaceDN w:val="0"/>
              <w:adjustRightInd w:val="0"/>
              <w:spacing w:line="240" w:lineRule="auto"/>
              <w:jc w:val="center"/>
              <w:rPr>
                <w:rFonts w:ascii="Times New Roman" w:hAnsi="Times New Roman" w:eastAsia="宋体" w:cs="Times New Roman"/>
                <w:b/>
                <w:bCs/>
                <w:kern w:val="0"/>
                <w:szCs w:val="24"/>
              </w:rPr>
            </w:pPr>
          </w:p>
          <w:p>
            <w:pPr>
              <w:autoSpaceDE w:val="0"/>
              <w:autoSpaceDN w:val="0"/>
              <w:adjustRightInd w:val="0"/>
              <w:spacing w:line="480" w:lineRule="auto"/>
              <w:rPr>
                <w:rFonts w:ascii="Times New Roman" w:hAnsi="Times New Roman" w:eastAsia="宋体" w:cs="Times New Roman"/>
                <w:color w:val="000000"/>
                <w:kern w:val="0"/>
                <w:szCs w:val="24"/>
              </w:rPr>
            </w:pPr>
          </w:p>
          <w:p>
            <w:pPr>
              <w:autoSpaceDE w:val="0"/>
              <w:autoSpaceDN w:val="0"/>
              <w:adjustRightInd w:val="0"/>
              <w:spacing w:line="240" w:lineRule="auto"/>
              <w:jc w:val="center"/>
              <w:rPr>
                <w:rFonts w:ascii="Times New Roman" w:hAnsi="Times New Roman" w:eastAsia="宋体" w:cs="Times New Roman"/>
                <w:color w:val="000000"/>
                <w:kern w:val="0"/>
                <w:szCs w:val="24"/>
              </w:rPr>
            </w:pPr>
            <w:r>
              <w:rPr>
                <w:rFonts w:hint="eastAsia" w:ascii="Times New Roman" w:hAnsi="Times New Roman" w:eastAsia="宋体" w:cs="Times New Roman"/>
                <w:b/>
                <w:bCs/>
                <w:kern w:val="0"/>
                <w:szCs w:val="24"/>
              </w:rPr>
              <w:t>图</w:t>
            </w:r>
            <w:r>
              <w:rPr>
                <w:rFonts w:ascii="Times New Roman" w:hAnsi="Times New Roman" w:eastAsia="宋体" w:cs="Times New Roman"/>
                <w:b/>
                <w:bCs/>
                <w:kern w:val="0"/>
                <w:szCs w:val="24"/>
              </w:rPr>
              <w:t>7-2  硫化氢、氨气</w:t>
            </w:r>
            <w:r>
              <w:rPr>
                <w:rFonts w:hint="eastAsia" w:ascii="Times New Roman" w:hAnsi="Times New Roman" w:eastAsia="宋体" w:cs="Times New Roman"/>
                <w:b/>
                <w:bCs/>
                <w:kern w:val="0"/>
                <w:szCs w:val="24"/>
              </w:rPr>
              <w:t>无组织排放预测结果图，</w:t>
            </w:r>
            <w:r>
              <w:rPr>
                <w:rFonts w:ascii="Times New Roman" w:hAnsi="Times New Roman" w:eastAsia="宋体" w:cs="Times New Roman"/>
                <w:b/>
                <w:bCs/>
                <w:kern w:val="0"/>
                <w:szCs w:val="24"/>
              </w:rPr>
              <w:t>占标率</w:t>
            </w:r>
          </w:p>
          <w:p>
            <w:pPr>
              <w:widowControl/>
              <w:ind w:firstLine="480" w:firstLineChars="200"/>
              <w:rPr>
                <w:rFonts w:ascii="Times New Roman" w:hAnsi="Times New Roman" w:eastAsia="宋体" w:cs="Times New Roman"/>
                <w:kern w:val="0"/>
                <w:szCs w:val="24"/>
              </w:rPr>
            </w:pPr>
            <w:r>
              <w:rPr>
                <w:rFonts w:ascii="Times New Roman" w:hAnsi="Times New Roman" w:eastAsia="宋体" w:cs="Times New Roman"/>
                <w:bCs/>
                <w:kern w:val="0"/>
                <w:szCs w:val="24"/>
              </w:rPr>
              <w:t>由图7-1、7-可知，项目运营期</w:t>
            </w:r>
            <w:r>
              <w:rPr>
                <w:rFonts w:ascii="Times New Roman" w:hAnsi="Times New Roman" w:eastAsia="宋体" w:cs="Times New Roman"/>
                <w:kern w:val="0"/>
                <w:szCs w:val="24"/>
              </w:rPr>
              <w:t>H</w:t>
            </w:r>
            <w:r>
              <w:rPr>
                <w:rFonts w:ascii="Times New Roman" w:hAnsi="Times New Roman" w:eastAsia="宋体" w:cs="Times New Roman"/>
                <w:kern w:val="0"/>
                <w:szCs w:val="24"/>
                <w:vertAlign w:val="subscript"/>
              </w:rPr>
              <w:t>2</w:t>
            </w:r>
            <w:r>
              <w:rPr>
                <w:rFonts w:ascii="Times New Roman" w:hAnsi="Times New Roman" w:eastAsia="宋体" w:cs="Times New Roman"/>
                <w:kern w:val="0"/>
                <w:szCs w:val="24"/>
              </w:rPr>
              <w:t>S和NH</w:t>
            </w:r>
            <w:r>
              <w:rPr>
                <w:rFonts w:ascii="Times New Roman" w:hAnsi="Times New Roman" w:eastAsia="宋体" w:cs="Times New Roman"/>
                <w:kern w:val="0"/>
                <w:szCs w:val="24"/>
                <w:vertAlign w:val="subscript"/>
              </w:rPr>
              <w:t>3</w:t>
            </w:r>
            <w:r>
              <w:rPr>
                <w:rFonts w:ascii="Times New Roman" w:hAnsi="Times New Roman" w:eastAsia="宋体" w:cs="Times New Roman"/>
                <w:kern w:val="0"/>
                <w:szCs w:val="24"/>
              </w:rPr>
              <w:t>最大落地浓度占标率分别为</w:t>
            </w:r>
            <w:r>
              <w:rPr>
                <w:rFonts w:hint="eastAsia" w:ascii="Times New Roman" w:hAnsi="Times New Roman" w:eastAsia="宋体" w:cs="Times New Roman"/>
                <w:kern w:val="0"/>
                <w:szCs w:val="24"/>
              </w:rPr>
              <w:t>5.01</w:t>
            </w:r>
            <w:r>
              <w:rPr>
                <w:rFonts w:ascii="Times New Roman" w:hAnsi="Times New Roman" w:eastAsia="宋体" w:cs="Times New Roman"/>
                <w:kern w:val="0"/>
                <w:szCs w:val="24"/>
              </w:rPr>
              <w:t>%、</w:t>
            </w:r>
            <w:r>
              <w:rPr>
                <w:rFonts w:hint="eastAsia" w:ascii="Times New Roman" w:hAnsi="Times New Roman" w:eastAsia="宋体" w:cs="Times New Roman"/>
                <w:kern w:val="0"/>
                <w:szCs w:val="24"/>
              </w:rPr>
              <w:t>9.90</w:t>
            </w:r>
            <w:r>
              <w:rPr>
                <w:rFonts w:ascii="Times New Roman" w:hAnsi="Times New Roman" w:eastAsia="宋体" w:cs="Times New Roman"/>
                <w:kern w:val="0"/>
                <w:szCs w:val="24"/>
              </w:rPr>
              <w:t>%，最大落地浓度距离为2</w:t>
            </w:r>
            <w:r>
              <w:rPr>
                <w:rFonts w:hint="eastAsia" w:ascii="Times New Roman" w:hAnsi="Times New Roman" w:eastAsia="宋体" w:cs="Times New Roman"/>
                <w:kern w:val="0"/>
                <w:szCs w:val="24"/>
              </w:rPr>
              <w:t>1</w:t>
            </w:r>
            <w:r>
              <w:rPr>
                <w:rFonts w:ascii="Times New Roman" w:hAnsi="Times New Roman" w:eastAsia="宋体" w:cs="Times New Roman"/>
                <w:kern w:val="0"/>
                <w:szCs w:val="24"/>
              </w:rPr>
              <w:t>m。根据《环境影响评价技术导则-大气环境》（HJ2.2-2018）可知，本项目大气评价工作等级为二级（1%≤Pmax＜10％），不进行进一步预测与评价</w:t>
            </w:r>
            <w:r>
              <w:rPr>
                <w:rFonts w:ascii="Times New Roman" w:hAnsi="Times New Roman" w:eastAsia="宋体" w:cs="Times New Roman"/>
                <w:bCs/>
                <w:kern w:val="0"/>
                <w:szCs w:val="24"/>
              </w:rPr>
              <w:t>，只对污染物排放量进行核算，可不设大气环境防护距离</w:t>
            </w:r>
            <w:r>
              <w:rPr>
                <w:rFonts w:ascii="Times New Roman" w:hAnsi="Times New Roman" w:eastAsia="宋体" w:cs="Times New Roman"/>
                <w:kern w:val="0"/>
                <w:szCs w:val="24"/>
              </w:rPr>
              <w:t>。同时项目下风向H</w:t>
            </w:r>
            <w:r>
              <w:rPr>
                <w:rFonts w:ascii="Times New Roman" w:hAnsi="Times New Roman" w:eastAsia="宋体" w:cs="Times New Roman"/>
                <w:kern w:val="0"/>
                <w:szCs w:val="24"/>
                <w:vertAlign w:val="subscript"/>
              </w:rPr>
              <w:t>2</w:t>
            </w:r>
            <w:r>
              <w:rPr>
                <w:rFonts w:ascii="Times New Roman" w:hAnsi="Times New Roman" w:eastAsia="宋体" w:cs="Times New Roman"/>
                <w:kern w:val="0"/>
                <w:szCs w:val="24"/>
              </w:rPr>
              <w:t>S和NH</w:t>
            </w:r>
            <w:r>
              <w:rPr>
                <w:rFonts w:ascii="Times New Roman" w:hAnsi="Times New Roman" w:eastAsia="宋体" w:cs="Times New Roman"/>
                <w:kern w:val="0"/>
                <w:szCs w:val="24"/>
                <w:vertAlign w:val="subscript"/>
              </w:rPr>
              <w:t>3</w:t>
            </w:r>
            <w:r>
              <w:rPr>
                <w:rFonts w:ascii="Times New Roman" w:hAnsi="Times New Roman" w:eastAsia="宋体" w:cs="Times New Roman"/>
                <w:kern w:val="0"/>
                <w:szCs w:val="24"/>
              </w:rPr>
              <w:t>最大落地浓度分别为0.</w:t>
            </w:r>
            <w:r>
              <w:rPr>
                <w:rFonts w:hint="eastAsia" w:ascii="Times New Roman" w:hAnsi="Times New Roman" w:eastAsia="宋体" w:cs="Times New Roman"/>
                <w:kern w:val="0"/>
                <w:szCs w:val="24"/>
              </w:rPr>
              <w:t>0005</w:t>
            </w:r>
            <w:r>
              <w:rPr>
                <w:rFonts w:ascii="Times New Roman" w:hAnsi="Times New Roman" w:eastAsia="宋体" w:cs="Times New Roman"/>
                <w:kern w:val="0"/>
                <w:szCs w:val="24"/>
              </w:rPr>
              <w:t>mg/m</w:t>
            </w:r>
            <w:r>
              <w:rPr>
                <w:rFonts w:ascii="Times New Roman" w:hAnsi="Times New Roman" w:eastAsia="宋体" w:cs="Times New Roman"/>
                <w:kern w:val="0"/>
                <w:szCs w:val="24"/>
                <w:vertAlign w:val="superscript"/>
              </w:rPr>
              <w:t>3</w:t>
            </w:r>
            <w:r>
              <w:rPr>
                <w:rFonts w:ascii="Times New Roman" w:hAnsi="Times New Roman" w:eastAsia="宋体" w:cs="Times New Roman"/>
                <w:kern w:val="0"/>
                <w:szCs w:val="24"/>
              </w:rPr>
              <w:t>、0.019</w:t>
            </w:r>
            <w:r>
              <w:rPr>
                <w:rFonts w:hint="eastAsia" w:ascii="Times New Roman" w:hAnsi="Times New Roman" w:eastAsia="宋体" w:cs="Times New Roman"/>
                <w:kern w:val="0"/>
                <w:szCs w:val="24"/>
              </w:rPr>
              <w:t>8</w:t>
            </w:r>
            <w:r>
              <w:rPr>
                <w:rFonts w:ascii="Times New Roman" w:hAnsi="Times New Roman" w:eastAsia="宋体" w:cs="Times New Roman"/>
                <w:kern w:val="0"/>
                <w:szCs w:val="24"/>
              </w:rPr>
              <w:t>mg/m</w:t>
            </w:r>
            <w:r>
              <w:rPr>
                <w:rFonts w:ascii="Times New Roman" w:hAnsi="Times New Roman" w:eastAsia="宋体" w:cs="Times New Roman"/>
                <w:kern w:val="0"/>
                <w:szCs w:val="24"/>
                <w:vertAlign w:val="superscript"/>
              </w:rPr>
              <w:t>3</w:t>
            </w:r>
            <w:r>
              <w:rPr>
                <w:rFonts w:ascii="Times New Roman" w:hAnsi="Times New Roman" w:eastAsia="宋体" w:cs="Times New Roman"/>
                <w:kern w:val="0"/>
                <w:szCs w:val="24"/>
              </w:rPr>
              <w:t>，低于《环境影响评价计算导则 大气环境》(HJ2.2-2018)附录D其它污染物空气质量浓度参考限值，外排污染物对大气环境贡献值较低，不会改变评价范围内大气环境功能，不会对评价范围内环境保护目标造成明显影响。</w:t>
            </w:r>
          </w:p>
          <w:p>
            <w:pPr>
              <w:pStyle w:val="38"/>
              <w:widowControl/>
              <w:ind w:firstLine="200" w:firstLineChars="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（4）实验室废气</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建设项目实验室设有化学、物理和生物实验室，物理实验室只进行简单的电路连接、模型制作物理现象方面的验证实验；生物实验室只进行简单的样本制作、植物观察等实验，基本上不会产生废气。</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化学实验只进行中和滴定、加热、物质的溶解、蒸馏、过滤、分液、药品的取用、存放与安全等等基本化学实验操作。化学实验加热过程中，会产生少量的刺激性气体和白烟，如加热燃烧实验中，镁条燃烧会产生白色的烟、硫在氧气中燃烧会产生明亮的蓝紫色火焰、放出热量，生成一种刺激性的气体。氯化钠固体与浓硫酸混合加热，有白雾和刺激性气体产生。由于每次实验所需的化学药品量非常少，产生的白烟、雾，和刺激性气的量也较少。且项目在化学实验室内设置了通风橱，化学实验产生的废气经通风橱集中于一根专用的竖井于屋顶排放，同时，加强化学实验室内的排风设置管理，排风机安装在室内的窗户上，并加设消声装置，且项目废气属间歇式排放，经大气扩散稀释及植物吸收后，对外界影响不大。</w:t>
            </w:r>
          </w:p>
          <w:p>
            <w:pPr>
              <w:pStyle w:val="6"/>
              <w:ind w:firstLine="482"/>
              <w:outlineLvl w:val="2"/>
            </w:pPr>
            <w:bookmarkStart w:id="73" w:name="_Toc34059545"/>
            <w:r>
              <w:rPr>
                <w:rFonts w:hint="eastAsia"/>
              </w:rPr>
              <w:t>2.2水环境影响分析</w:t>
            </w:r>
            <w:bookmarkEnd w:id="73"/>
          </w:p>
          <w:p>
            <w:pPr>
              <w:spacing w:line="360" w:lineRule="auto"/>
              <w:ind w:firstLine="480"/>
              <w:rPr>
                <w:rFonts w:ascii="Times New Roman" w:hAnsi="Times New Roman"/>
              </w:rPr>
            </w:pPr>
            <w:r>
              <w:rPr>
                <w:rFonts w:hint="eastAsia" w:ascii="Times New Roman" w:hAnsi="Times New Roman"/>
              </w:rPr>
              <w:t>本项目地表水环境影响分析分为污水管网接通污水处理厂前后两种情况分析。</w:t>
            </w:r>
          </w:p>
          <w:p>
            <w:pPr>
              <w:tabs>
                <w:tab w:val="left" w:pos="210"/>
              </w:tabs>
              <w:spacing w:line="360" w:lineRule="auto"/>
              <w:ind w:firstLine="482" w:firstLineChars="200"/>
              <w:rPr>
                <w:rFonts w:ascii="Times New Roman" w:hAnsi="Times New Roman"/>
                <w:b/>
                <w:bCs/>
              </w:rPr>
            </w:pPr>
            <w:r>
              <w:rPr>
                <w:rFonts w:hint="eastAsia" w:ascii="Times New Roman" w:hAnsi="Times New Roman"/>
                <w:b/>
                <w:bCs/>
              </w:rPr>
              <w:t>污水管网接通污水处理厂之前</w:t>
            </w:r>
          </w:p>
          <w:p>
            <w:pPr>
              <w:spacing w:line="360" w:lineRule="auto"/>
              <w:ind w:firstLine="480"/>
              <w:rPr>
                <w:rFonts w:ascii="Times New Roman" w:hAnsi="Times New Roman"/>
              </w:rPr>
            </w:pPr>
            <w:r>
              <w:rPr>
                <w:rFonts w:hint="eastAsia" w:ascii="Times New Roman" w:hAnsi="Times New Roman"/>
              </w:rPr>
              <w:t>（1）废水水量、水质特点</w:t>
            </w:r>
          </w:p>
          <w:p>
            <w:pPr>
              <w:spacing w:line="360" w:lineRule="auto"/>
              <w:ind w:firstLine="480"/>
              <w:rPr>
                <w:rFonts w:ascii="Times New Roman" w:hAnsi="Times New Roman"/>
              </w:rPr>
            </w:pPr>
            <w:r>
              <w:rPr>
                <w:rFonts w:hint="eastAsia" w:ascii="Times New Roman" w:hAnsi="Times New Roman"/>
              </w:rPr>
              <w:t>项目产生的废水主要是生活废水、食堂废水（隔油沉淀池预处理）、实验室废水（生物实验室废水经消毒沉淀池预处理，化学实验室经实验室废水处理设施预处理 ），本项目共产生生活污水</w:t>
            </w:r>
            <w:r>
              <w:rPr>
                <w:rFonts w:ascii="Times New Roman" w:hAnsi="Times New Roman"/>
              </w:rPr>
              <w:t>227.52m</w:t>
            </w:r>
            <w:r>
              <w:rPr>
                <w:rFonts w:hint="eastAsia" w:ascii="Times New Roman" w:hAnsi="Times New Roman"/>
              </w:rPr>
              <w:t>³/d，污水经预处理后进入化粪池处理然后排至</w:t>
            </w:r>
            <w:r>
              <w:rPr>
                <w:rFonts w:ascii="Times New Roman" w:hAnsi="Times New Roman"/>
                <w:bCs/>
              </w:rPr>
              <w:t>污水处理设施（</w:t>
            </w:r>
            <w:r>
              <w:rPr>
                <w:rFonts w:hint="eastAsia" w:ascii="Times New Roman" w:hAnsi="Times New Roman"/>
                <w:bCs/>
              </w:rPr>
              <w:t>MBR</w:t>
            </w:r>
            <w:r>
              <w:rPr>
                <w:rFonts w:ascii="Times New Roman" w:hAnsi="Times New Roman"/>
                <w:bCs/>
              </w:rPr>
              <w:t>处理工艺）</w:t>
            </w:r>
            <w:r>
              <w:rPr>
                <w:rFonts w:hint="eastAsia" w:ascii="Times New Roman" w:hAnsi="Times New Roman"/>
                <w:bCs/>
              </w:rPr>
              <w:t>处理，处理达标后排至北港河。</w:t>
            </w:r>
          </w:p>
          <w:p>
            <w:pPr>
              <w:spacing w:line="360" w:lineRule="auto"/>
              <w:ind w:firstLine="480" w:firstLineChars="200"/>
              <w:rPr>
                <w:rFonts w:ascii="Times New Roman" w:hAnsi="Times New Roman"/>
              </w:rPr>
            </w:pPr>
            <w:r>
              <w:rPr>
                <w:rFonts w:hint="eastAsia" w:ascii="Times New Roman" w:hAnsi="Times New Roman"/>
              </w:rPr>
              <w:t>本项目水质较简单，主要污染物为COD、BOD</w:t>
            </w:r>
            <w:r>
              <w:rPr>
                <w:rFonts w:hint="eastAsia" w:ascii="Times New Roman" w:hAnsi="Times New Roman"/>
                <w:vertAlign w:val="subscript"/>
              </w:rPr>
              <w:t>5</w:t>
            </w:r>
            <w:r>
              <w:rPr>
                <w:rFonts w:hint="eastAsia" w:ascii="Times New Roman" w:hAnsi="Times New Roman"/>
              </w:rPr>
              <w:t>、NH</w:t>
            </w:r>
            <w:r>
              <w:rPr>
                <w:rFonts w:hint="eastAsia" w:ascii="Times New Roman" w:hAnsi="Times New Roman"/>
                <w:vertAlign w:val="subscript"/>
              </w:rPr>
              <w:t>3</w:t>
            </w:r>
            <w:r>
              <w:rPr>
                <w:rFonts w:hint="eastAsia" w:ascii="Times New Roman" w:hAnsi="Times New Roman"/>
              </w:rPr>
              <w:t>-N、SS、动植物油等，综合废水经污水处理站处理后排放量分别为</w:t>
            </w:r>
            <w:r>
              <w:rPr>
                <w:rFonts w:ascii="Times New Roman" w:hAnsi="Times New Roman"/>
              </w:rPr>
              <w:t>2.13768t/a</w:t>
            </w:r>
            <w:r>
              <w:rPr>
                <w:rFonts w:hint="eastAsia" w:ascii="Times New Roman" w:hAnsi="Times New Roman"/>
              </w:rPr>
              <w:t>、</w:t>
            </w:r>
            <w:r>
              <w:rPr>
                <w:rFonts w:ascii="Times New Roman" w:hAnsi="Times New Roman"/>
              </w:rPr>
              <w:t>0.4062t/a</w:t>
            </w:r>
            <w:r>
              <w:rPr>
                <w:rFonts w:hint="eastAsia" w:ascii="Times New Roman" w:hAnsi="Times New Roman"/>
              </w:rPr>
              <w:t>、</w:t>
            </w:r>
            <w:r>
              <w:rPr>
                <w:rFonts w:ascii="Times New Roman" w:hAnsi="Times New Roman"/>
              </w:rPr>
              <w:t>0.1877t/a</w:t>
            </w:r>
            <w:r>
              <w:rPr>
                <w:rFonts w:hint="eastAsia" w:ascii="Times New Roman" w:hAnsi="Times New Roman"/>
              </w:rPr>
              <w:t>、</w:t>
            </w:r>
            <w:r>
              <w:rPr>
                <w:rFonts w:ascii="Times New Roman" w:hAnsi="Times New Roman"/>
              </w:rPr>
              <w:t>0.342t/a</w:t>
            </w:r>
            <w:r>
              <w:rPr>
                <w:rFonts w:hint="eastAsia" w:ascii="Times New Roman" w:hAnsi="Times New Roman"/>
              </w:rPr>
              <w:t>、</w:t>
            </w:r>
            <w:r>
              <w:rPr>
                <w:rFonts w:ascii="Times New Roman" w:hAnsi="Times New Roman"/>
              </w:rPr>
              <w:t>0.044t/a</w:t>
            </w:r>
            <w:r>
              <w:rPr>
                <w:rFonts w:hint="eastAsia" w:ascii="Times New Roman" w:hAnsi="Times New Roman"/>
              </w:rPr>
              <w:t>。</w:t>
            </w:r>
          </w:p>
          <w:p>
            <w:pPr>
              <w:spacing w:line="360" w:lineRule="auto"/>
              <w:ind w:firstLine="480"/>
              <w:rPr>
                <w:rFonts w:ascii="Times New Roman" w:hAnsi="Times New Roman"/>
                <w:bCs/>
              </w:rPr>
            </w:pPr>
            <w:r>
              <w:rPr>
                <w:rFonts w:hint="eastAsia" w:ascii="Times New Roman" w:hAnsi="Times New Roman"/>
                <w:bCs/>
              </w:rPr>
              <w:t>（2）评价等级确定</w:t>
            </w:r>
          </w:p>
          <w:p>
            <w:pPr>
              <w:autoSpaceDE w:val="0"/>
              <w:autoSpaceDN w:val="0"/>
              <w:adjustRightInd w:val="0"/>
              <w:spacing w:line="360" w:lineRule="auto"/>
              <w:ind w:firstLine="480"/>
              <w:jc w:val="left"/>
              <w:rPr>
                <w:rFonts w:ascii="Times New Roman" w:hAnsi="Times New Roman"/>
              </w:rPr>
            </w:pPr>
            <w:r>
              <w:rPr>
                <w:rFonts w:hint="eastAsia" w:ascii="Times New Roman" w:hAnsi="Times New Roman"/>
                <w:spacing w:val="6"/>
                <w:szCs w:val="20"/>
              </w:rPr>
              <w:t>根据《环境影响评价技术导则——地表水环境》（</w:t>
            </w:r>
            <w:r>
              <w:rPr>
                <w:rFonts w:ascii="Times New Roman" w:hAnsi="Times New Roman"/>
                <w:spacing w:val="6"/>
                <w:szCs w:val="20"/>
              </w:rPr>
              <w:t>HJ2.3-2018</w:t>
            </w:r>
            <w:r>
              <w:rPr>
                <w:rFonts w:hint="eastAsia" w:ascii="Times New Roman" w:hAnsi="Times New Roman"/>
                <w:spacing w:val="6"/>
                <w:szCs w:val="20"/>
              </w:rPr>
              <w:t>），建设项目地表水环境影响评价等级按照影响类型、排放方式、排放量或影响情况、受纳水环境质量现状、水环境保护目标等综合确定。水污染影响型建设项目评价等级判定见下表</w:t>
            </w:r>
            <w:r>
              <w:rPr>
                <w:rFonts w:hint="eastAsia" w:ascii="Times New Roman" w:hAnsi="Times New Roman"/>
              </w:rPr>
              <w:t>：</w:t>
            </w:r>
          </w:p>
          <w:p>
            <w:pPr>
              <w:autoSpaceDE w:val="0"/>
              <w:autoSpaceDN w:val="0"/>
              <w:adjustRightInd w:val="0"/>
              <w:spacing w:line="276" w:lineRule="auto"/>
              <w:jc w:val="center"/>
              <w:rPr>
                <w:rFonts w:ascii="Times New Roman" w:hAnsi="Times New Roman"/>
                <w:b/>
                <w:spacing w:val="6"/>
              </w:rPr>
            </w:pPr>
            <w:r>
              <w:rPr>
                <w:rFonts w:hint="eastAsia" w:ascii="Times New Roman" w:hAnsi="Times New Roman"/>
                <w:b/>
                <w:spacing w:val="6"/>
              </w:rPr>
              <w:t>表7-</w:t>
            </w:r>
            <w:r>
              <w:rPr>
                <w:rFonts w:ascii="Times New Roman" w:hAnsi="Times New Roman"/>
                <w:b/>
                <w:spacing w:val="6"/>
              </w:rPr>
              <w:t>7</w:t>
            </w:r>
            <w:r>
              <w:rPr>
                <w:rFonts w:hint="eastAsia" w:ascii="Times New Roman" w:hAnsi="Times New Roman"/>
                <w:b/>
                <w:spacing w:val="6"/>
              </w:rPr>
              <w:t xml:space="preserve">   水污染影响型建设项目评价等级判定</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80"/>
              <w:gridCol w:w="2775"/>
              <w:gridCol w:w="338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vMerge w:val="restart"/>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评价等级</w:t>
                  </w:r>
                </w:p>
              </w:tc>
              <w:tc>
                <w:tcPr>
                  <w:tcW w:w="6161" w:type="dxa"/>
                  <w:gridSpan w:val="2"/>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判定依据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bCs/>
                      <w:sz w:val="21"/>
                      <w:szCs w:val="21"/>
                    </w:rPr>
                  </w:pPr>
                </w:p>
              </w:tc>
              <w:tc>
                <w:tcPr>
                  <w:tcW w:w="2775" w:type="dxa"/>
                  <w:tcBorders>
                    <w:bottom w:val="single" w:color="auto" w:sz="12" w:space="0"/>
                  </w:tcBorders>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排放方式</w:t>
                  </w:r>
                </w:p>
              </w:tc>
              <w:tc>
                <w:tcPr>
                  <w:tcW w:w="3386" w:type="dxa"/>
                  <w:tcBorders>
                    <w:bottom w:val="single" w:color="auto" w:sz="12" w:space="0"/>
                  </w:tcBorders>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废水排放量Q/(m</w:t>
                  </w:r>
                  <w:r>
                    <w:rPr>
                      <w:rFonts w:hint="eastAsia" w:ascii="Times New Roman" w:hAnsi="Times New Roman"/>
                      <w:b/>
                      <w:sz w:val="21"/>
                      <w:szCs w:val="21"/>
                      <w:vertAlign w:val="superscript"/>
                    </w:rPr>
                    <w:t>3</w:t>
                  </w:r>
                  <w:r>
                    <w:rPr>
                      <w:rFonts w:hint="eastAsia" w:ascii="Times New Roman" w:hAnsi="Times New Roman"/>
                      <w:b/>
                      <w:sz w:val="21"/>
                      <w:szCs w:val="21"/>
                    </w:rPr>
                    <w:t>/d)；</w:t>
                  </w:r>
                </w:p>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水污染物当量数W/（无量纲）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一级</w:t>
                  </w:r>
                </w:p>
              </w:tc>
              <w:tc>
                <w:tcPr>
                  <w:tcW w:w="2775"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直接排放</w:t>
                  </w:r>
                </w:p>
              </w:tc>
              <w:tc>
                <w:tcPr>
                  <w:tcW w:w="3386"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Q≥20000或W≥600000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tcBorders>
                    <w:top w:val="single" w:color="auto" w:sz="4" w:space="0"/>
                  </w:tcBorders>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二级</w:t>
                  </w:r>
                </w:p>
              </w:tc>
              <w:tc>
                <w:tcPr>
                  <w:tcW w:w="2775" w:type="dxa"/>
                  <w:tcBorders>
                    <w:top w:val="single" w:color="auto" w:sz="4" w:space="0"/>
                  </w:tcBorders>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直接排放</w:t>
                  </w:r>
                </w:p>
              </w:tc>
              <w:tc>
                <w:tcPr>
                  <w:tcW w:w="3386" w:type="dxa"/>
                  <w:tcBorders>
                    <w:top w:val="single" w:color="auto" w:sz="4" w:space="0"/>
                  </w:tcBorders>
                  <w:vAlign w:val="center"/>
                </w:tcPr>
                <w:p>
                  <w:pPr>
                    <w:autoSpaceDE w:val="0"/>
                    <w:autoSpaceDN w:val="0"/>
                    <w:adjustRightInd w:val="0"/>
                    <w:spacing w:line="240" w:lineRule="auto"/>
                    <w:jc w:val="center"/>
                    <w:rPr>
                      <w:rFonts w:ascii="Times New Roman" w:hAnsi="Times New Roman"/>
                      <w:b/>
                      <w:sz w:val="21"/>
                      <w:szCs w:val="21"/>
                    </w:rPr>
                  </w:pPr>
                  <w:r>
                    <w:rPr>
                      <w:rFonts w:hint="eastAsia" w:ascii="Times New Roman" w:hAnsi="Times New Roman"/>
                      <w:b/>
                      <w:sz w:val="21"/>
                      <w:szCs w:val="21"/>
                    </w:rPr>
                    <w:t>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三级A</w:t>
                  </w:r>
                </w:p>
              </w:tc>
              <w:tc>
                <w:tcPr>
                  <w:tcW w:w="2775"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直接排放</w:t>
                  </w:r>
                </w:p>
              </w:tc>
              <w:tc>
                <w:tcPr>
                  <w:tcW w:w="3386"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Q＜200且W＜6000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80"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三级B</w:t>
                  </w:r>
                </w:p>
              </w:tc>
              <w:tc>
                <w:tcPr>
                  <w:tcW w:w="2775"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间接排放</w:t>
                  </w:r>
                </w:p>
              </w:tc>
              <w:tc>
                <w:tcPr>
                  <w:tcW w:w="3386" w:type="dxa"/>
                  <w:vAlign w:val="center"/>
                </w:tcPr>
                <w:p>
                  <w:pPr>
                    <w:autoSpaceDE w:val="0"/>
                    <w:autoSpaceDN w:val="0"/>
                    <w:adjustRightInd w:val="0"/>
                    <w:spacing w:line="240" w:lineRule="auto"/>
                    <w:jc w:val="center"/>
                    <w:rPr>
                      <w:rFonts w:ascii="Times New Roman" w:hAnsi="Times New Roman"/>
                      <w:bCs/>
                      <w:sz w:val="21"/>
                      <w:szCs w:val="21"/>
                    </w:rPr>
                  </w:pPr>
                  <w:r>
                    <w:rPr>
                      <w:rFonts w:hint="eastAsia" w:ascii="Times New Roman" w:hAnsi="Times New Roman"/>
                      <w:bCs/>
                      <w:sz w:val="21"/>
                      <w:szCs w:val="21"/>
                    </w:rPr>
                    <w:t>——</w:t>
                  </w:r>
                </w:p>
              </w:tc>
            </w:tr>
          </w:tbl>
          <w:p>
            <w:pPr>
              <w:spacing w:line="360" w:lineRule="auto"/>
              <w:ind w:firstLine="480"/>
              <w:rPr>
                <w:rFonts w:ascii="Times New Roman" w:hAnsi="Times New Roman"/>
                <w:bCs/>
              </w:rPr>
            </w:pPr>
            <w:r>
              <w:rPr>
                <w:rFonts w:hint="eastAsia" w:ascii="Times New Roman" w:hAnsi="Times New Roman"/>
                <w:bCs/>
              </w:rPr>
              <w:t>本项目W值计算结果见下表：</w:t>
            </w:r>
          </w:p>
          <w:p>
            <w:pPr>
              <w:autoSpaceDE w:val="0"/>
              <w:autoSpaceDN w:val="0"/>
              <w:adjustRightInd w:val="0"/>
              <w:spacing w:line="276" w:lineRule="auto"/>
              <w:jc w:val="center"/>
              <w:rPr>
                <w:rFonts w:ascii="Times New Roman" w:hAnsi="Times New Roman"/>
                <w:b/>
                <w:spacing w:val="6"/>
              </w:rPr>
            </w:pPr>
            <w:r>
              <w:rPr>
                <w:rFonts w:hint="eastAsia" w:ascii="Times New Roman" w:hAnsi="Times New Roman"/>
                <w:b/>
                <w:spacing w:val="6"/>
              </w:rPr>
              <w:t>表7-</w:t>
            </w:r>
            <w:r>
              <w:rPr>
                <w:rFonts w:ascii="Times New Roman" w:hAnsi="Times New Roman"/>
                <w:b/>
                <w:spacing w:val="6"/>
              </w:rPr>
              <w:t>8</w:t>
            </w:r>
            <w:r>
              <w:rPr>
                <w:rFonts w:hint="eastAsia" w:ascii="Times New Roman" w:hAnsi="Times New Roman"/>
                <w:b/>
                <w:spacing w:val="6"/>
              </w:rPr>
              <w:t xml:space="preserve">  水污染物当量数计算结果表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06"/>
              <w:gridCol w:w="1210"/>
              <w:gridCol w:w="1267"/>
              <w:gridCol w:w="1461"/>
              <w:gridCol w:w="1325"/>
              <w:gridCol w:w="14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6" w:type="dxa"/>
                  <w:tcBorders>
                    <w:bottom w:val="single" w:color="auto" w:sz="12" w:space="0"/>
                  </w:tcBorders>
                  <w:vAlign w:val="center"/>
                </w:tcPr>
                <w:p>
                  <w:pPr>
                    <w:spacing w:line="240" w:lineRule="auto"/>
                    <w:jc w:val="center"/>
                    <w:rPr>
                      <w:rFonts w:ascii="Times New Roman" w:hAnsi="Times New Roman"/>
                      <w:b/>
                      <w:bCs/>
                      <w:sz w:val="21"/>
                      <w:szCs w:val="21"/>
                    </w:rPr>
                  </w:pPr>
                  <w:r>
                    <w:rPr>
                      <w:rFonts w:ascii="Times New Roman" w:hAnsi="Times New Roman"/>
                      <w:b/>
                      <w:bCs/>
                      <w:spacing w:val="2"/>
                      <w:position w:val="-3"/>
                      <w:sz w:val="21"/>
                      <w:szCs w:val="21"/>
                    </w:rPr>
                    <w:t>污染物</w:t>
                  </w:r>
                </w:p>
              </w:tc>
              <w:tc>
                <w:tcPr>
                  <w:tcW w:w="1210" w:type="dxa"/>
                  <w:tcBorders>
                    <w:bottom w:val="single" w:color="auto" w:sz="12" w:space="0"/>
                  </w:tcBorders>
                  <w:vAlign w:val="center"/>
                </w:tcPr>
                <w:p>
                  <w:pPr>
                    <w:snapToGrid w:val="0"/>
                    <w:spacing w:line="240" w:lineRule="auto"/>
                    <w:jc w:val="center"/>
                    <w:rPr>
                      <w:rFonts w:ascii="Times New Roman" w:hAnsi="Times New Roman"/>
                      <w:b/>
                      <w:bCs/>
                      <w:spacing w:val="2"/>
                      <w:position w:val="-3"/>
                      <w:sz w:val="21"/>
                      <w:szCs w:val="21"/>
                    </w:rPr>
                  </w:pPr>
                  <w:r>
                    <w:rPr>
                      <w:rFonts w:hint="eastAsia" w:ascii="Times New Roman" w:hAnsi="Times New Roman"/>
                      <w:b/>
                      <w:bCs/>
                      <w:sz w:val="21"/>
                      <w:szCs w:val="21"/>
                    </w:rPr>
                    <w:t>COD</w:t>
                  </w:r>
                </w:p>
              </w:tc>
              <w:tc>
                <w:tcPr>
                  <w:tcW w:w="1267" w:type="dxa"/>
                  <w:tcBorders>
                    <w:bottom w:val="single" w:color="auto" w:sz="12" w:space="0"/>
                  </w:tcBorders>
                  <w:vAlign w:val="center"/>
                </w:tcPr>
                <w:p>
                  <w:pPr>
                    <w:snapToGrid w:val="0"/>
                    <w:spacing w:line="240" w:lineRule="auto"/>
                    <w:jc w:val="center"/>
                    <w:rPr>
                      <w:rFonts w:ascii="Times New Roman" w:hAnsi="Times New Roman"/>
                      <w:b/>
                      <w:bCs/>
                      <w:sz w:val="21"/>
                      <w:szCs w:val="21"/>
                    </w:rPr>
                  </w:pPr>
                  <w:r>
                    <w:rPr>
                      <w:rFonts w:hint="eastAsia" w:ascii="Times New Roman" w:hAnsi="Times New Roman"/>
                      <w:b/>
                      <w:bCs/>
                      <w:sz w:val="21"/>
                      <w:szCs w:val="21"/>
                    </w:rPr>
                    <w:t>BOD</w:t>
                  </w:r>
                  <w:r>
                    <w:rPr>
                      <w:rFonts w:hint="eastAsia" w:ascii="Times New Roman" w:hAnsi="Times New Roman"/>
                      <w:b/>
                      <w:bCs/>
                      <w:sz w:val="21"/>
                      <w:szCs w:val="21"/>
                      <w:vertAlign w:val="subscript"/>
                    </w:rPr>
                    <w:t>5</w:t>
                  </w:r>
                </w:p>
              </w:tc>
              <w:tc>
                <w:tcPr>
                  <w:tcW w:w="1461" w:type="dxa"/>
                  <w:tcBorders>
                    <w:bottom w:val="single" w:color="auto" w:sz="12" w:space="0"/>
                  </w:tcBorders>
                  <w:vAlign w:val="center"/>
                </w:tcPr>
                <w:p>
                  <w:pPr>
                    <w:snapToGrid w:val="0"/>
                    <w:spacing w:line="240" w:lineRule="auto"/>
                    <w:jc w:val="center"/>
                    <w:rPr>
                      <w:rFonts w:ascii="Times New Roman" w:hAnsi="Times New Roman"/>
                      <w:b/>
                      <w:bCs/>
                      <w:sz w:val="21"/>
                      <w:szCs w:val="21"/>
                    </w:rPr>
                  </w:pPr>
                  <w:r>
                    <w:rPr>
                      <w:rFonts w:hint="eastAsia" w:ascii="Times New Roman" w:hAnsi="Times New Roman"/>
                      <w:b/>
                      <w:bCs/>
                      <w:sz w:val="21"/>
                      <w:szCs w:val="21"/>
                    </w:rPr>
                    <w:t>SS</w:t>
                  </w:r>
                </w:p>
              </w:tc>
              <w:tc>
                <w:tcPr>
                  <w:tcW w:w="1325" w:type="dxa"/>
                  <w:tcBorders>
                    <w:bottom w:val="single" w:color="auto" w:sz="12" w:space="0"/>
                  </w:tcBorders>
                  <w:vAlign w:val="center"/>
                </w:tcPr>
                <w:p>
                  <w:pPr>
                    <w:snapToGrid w:val="0"/>
                    <w:spacing w:line="240" w:lineRule="auto"/>
                    <w:jc w:val="center"/>
                    <w:rPr>
                      <w:rFonts w:ascii="Times New Roman" w:hAnsi="Times New Roman"/>
                      <w:b/>
                      <w:bCs/>
                      <w:sz w:val="21"/>
                      <w:szCs w:val="21"/>
                    </w:rPr>
                  </w:pPr>
                  <w:r>
                    <w:rPr>
                      <w:rFonts w:hint="eastAsia" w:ascii="Times New Roman" w:hAnsi="Times New Roman"/>
                      <w:b/>
                      <w:bCs/>
                      <w:sz w:val="21"/>
                      <w:szCs w:val="21"/>
                    </w:rPr>
                    <w:t>氨氮</w:t>
                  </w:r>
                </w:p>
              </w:tc>
              <w:tc>
                <w:tcPr>
                  <w:tcW w:w="1472" w:type="dxa"/>
                  <w:tcBorders>
                    <w:bottom w:val="single" w:color="auto" w:sz="12" w:space="0"/>
                  </w:tcBorders>
                  <w:vAlign w:val="center"/>
                </w:tcPr>
                <w:p>
                  <w:pPr>
                    <w:snapToGrid w:val="0"/>
                    <w:spacing w:line="240" w:lineRule="auto"/>
                    <w:jc w:val="center"/>
                    <w:rPr>
                      <w:rFonts w:ascii="Times New Roman" w:hAnsi="Times New Roman"/>
                      <w:b/>
                      <w:bCs/>
                      <w:sz w:val="21"/>
                      <w:szCs w:val="21"/>
                    </w:rPr>
                  </w:pPr>
                  <w:r>
                    <w:rPr>
                      <w:rFonts w:hint="eastAsia" w:ascii="Times New Roman" w:hAnsi="Times New Roman"/>
                      <w:b/>
                      <w:bCs/>
                      <w:sz w:val="21"/>
                      <w:szCs w:val="21"/>
                    </w:rPr>
                    <w:t>动植物油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6" w:type="dxa"/>
                  <w:tcBorders>
                    <w:top w:val="single" w:color="auto" w:sz="12" w:space="0"/>
                    <w:bottom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pacing w:val="2"/>
                      <w:position w:val="-3"/>
                      <w:sz w:val="21"/>
                      <w:szCs w:val="21"/>
                    </w:rPr>
                    <w:t>排放量(t/a)</w:t>
                  </w:r>
                </w:p>
              </w:tc>
              <w:tc>
                <w:tcPr>
                  <w:tcW w:w="1210" w:type="dxa"/>
                  <w:tcBorders>
                    <w:top w:val="single" w:color="auto" w:sz="12" w:space="0"/>
                    <w:bottom w:val="single" w:color="auto" w:sz="4" w:space="0"/>
                  </w:tcBorders>
                  <w:vAlign w:val="center"/>
                </w:tcPr>
                <w:p>
                  <w:pPr>
                    <w:snapToGrid w:val="0"/>
                    <w:spacing w:line="240" w:lineRule="auto"/>
                    <w:jc w:val="center"/>
                    <w:rPr>
                      <w:rFonts w:ascii="Times New Roman" w:hAnsi="Times New Roman"/>
                      <w:spacing w:val="2"/>
                      <w:position w:val="-3"/>
                      <w:sz w:val="21"/>
                      <w:szCs w:val="21"/>
                    </w:rPr>
                  </w:pPr>
                  <w:r>
                    <w:rPr>
                      <w:rFonts w:ascii="Times New Roman" w:hAnsi="Times New Roman"/>
                      <w:bCs/>
                      <w:sz w:val="21"/>
                      <w:szCs w:val="21"/>
                    </w:rPr>
                    <w:t>2.13678</w:t>
                  </w:r>
                </w:p>
              </w:tc>
              <w:tc>
                <w:tcPr>
                  <w:tcW w:w="1267" w:type="dxa"/>
                  <w:tcBorders>
                    <w:top w:val="single" w:color="auto" w:sz="12" w:space="0"/>
                    <w:bottom w:val="single" w:color="auto" w:sz="4" w:space="0"/>
                  </w:tcBorders>
                  <w:vAlign w:val="center"/>
                </w:tcPr>
                <w:p>
                  <w:pPr>
                    <w:snapToGrid w:val="0"/>
                    <w:spacing w:line="240" w:lineRule="auto"/>
                    <w:jc w:val="center"/>
                    <w:rPr>
                      <w:rFonts w:ascii="Times New Roman" w:hAnsi="Times New Roman"/>
                      <w:sz w:val="21"/>
                      <w:szCs w:val="21"/>
                    </w:rPr>
                  </w:pPr>
                  <w:r>
                    <w:rPr>
                      <w:rFonts w:ascii="Times New Roman" w:hAnsi="Times New Roman"/>
                      <w:bCs/>
                      <w:sz w:val="21"/>
                      <w:szCs w:val="21"/>
                    </w:rPr>
                    <w:t>0.4062</w:t>
                  </w:r>
                </w:p>
              </w:tc>
              <w:tc>
                <w:tcPr>
                  <w:tcW w:w="1461" w:type="dxa"/>
                  <w:tcBorders>
                    <w:top w:val="single" w:color="auto" w:sz="12" w:space="0"/>
                    <w:bottom w:val="single" w:color="auto" w:sz="4" w:space="0"/>
                  </w:tcBorders>
                  <w:vAlign w:val="center"/>
                </w:tcPr>
                <w:p>
                  <w:pPr>
                    <w:snapToGrid w:val="0"/>
                    <w:spacing w:line="240" w:lineRule="auto"/>
                    <w:jc w:val="center"/>
                    <w:rPr>
                      <w:rFonts w:ascii="Times New Roman" w:hAnsi="Times New Roman"/>
                      <w:sz w:val="21"/>
                      <w:szCs w:val="21"/>
                    </w:rPr>
                  </w:pPr>
                  <w:r>
                    <w:rPr>
                      <w:rFonts w:ascii="Times New Roman" w:hAnsi="Times New Roman"/>
                      <w:bCs/>
                      <w:sz w:val="21"/>
                      <w:szCs w:val="21"/>
                    </w:rPr>
                    <w:t>0.342</w:t>
                  </w:r>
                </w:p>
              </w:tc>
              <w:tc>
                <w:tcPr>
                  <w:tcW w:w="1325" w:type="dxa"/>
                  <w:tcBorders>
                    <w:top w:val="single" w:color="auto" w:sz="12" w:space="0"/>
                    <w:bottom w:val="single" w:color="auto" w:sz="4" w:space="0"/>
                  </w:tcBorders>
                  <w:vAlign w:val="center"/>
                </w:tcPr>
                <w:p>
                  <w:pPr>
                    <w:snapToGrid w:val="0"/>
                    <w:spacing w:line="240" w:lineRule="auto"/>
                    <w:jc w:val="center"/>
                    <w:rPr>
                      <w:rFonts w:ascii="Times New Roman" w:hAnsi="Times New Roman"/>
                      <w:sz w:val="21"/>
                      <w:szCs w:val="21"/>
                    </w:rPr>
                  </w:pPr>
                  <w:r>
                    <w:rPr>
                      <w:rFonts w:ascii="Times New Roman" w:hAnsi="Times New Roman"/>
                      <w:bCs/>
                      <w:sz w:val="21"/>
                      <w:szCs w:val="21"/>
                    </w:rPr>
                    <w:t>0.1877</w:t>
                  </w:r>
                </w:p>
              </w:tc>
              <w:tc>
                <w:tcPr>
                  <w:tcW w:w="1472" w:type="dxa"/>
                  <w:tcBorders>
                    <w:top w:val="single" w:color="auto" w:sz="12" w:space="0"/>
                    <w:bottom w:val="single" w:color="auto" w:sz="4" w:space="0"/>
                  </w:tcBorders>
                  <w:vAlign w:val="center"/>
                </w:tcPr>
                <w:p>
                  <w:pPr>
                    <w:snapToGrid w:val="0"/>
                    <w:spacing w:line="240" w:lineRule="auto"/>
                    <w:jc w:val="center"/>
                    <w:rPr>
                      <w:rFonts w:ascii="Times New Roman" w:hAnsi="Times New Roman"/>
                      <w:sz w:val="21"/>
                      <w:szCs w:val="21"/>
                    </w:rPr>
                  </w:pPr>
                  <w:r>
                    <w:rPr>
                      <w:rFonts w:ascii="Times New Roman" w:hAnsi="Times New Roman"/>
                      <w:sz w:val="21"/>
                      <w:szCs w:val="21"/>
                    </w:rPr>
                    <w:t>0.044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6"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污染当量值（kg）</w:t>
                  </w:r>
                </w:p>
              </w:tc>
              <w:tc>
                <w:tcPr>
                  <w:tcW w:w="1210" w:type="dxa"/>
                  <w:tcBorders>
                    <w:top w:val="single" w:color="auto" w:sz="4" w:space="0"/>
                  </w:tcBorders>
                  <w:vAlign w:val="center"/>
                </w:tcPr>
                <w:p>
                  <w:pPr>
                    <w:spacing w:line="240" w:lineRule="auto"/>
                    <w:jc w:val="center"/>
                    <w:rPr>
                      <w:rFonts w:ascii="Times New Roman" w:hAnsi="Times New Roman"/>
                      <w:spacing w:val="2"/>
                      <w:position w:val="-3"/>
                      <w:sz w:val="21"/>
                      <w:szCs w:val="21"/>
                    </w:rPr>
                  </w:pPr>
                  <w:r>
                    <w:rPr>
                      <w:rFonts w:hint="eastAsia" w:ascii="Times New Roman" w:hAnsi="Times New Roman"/>
                      <w:spacing w:val="2"/>
                      <w:position w:val="-3"/>
                      <w:sz w:val="21"/>
                      <w:szCs w:val="21"/>
                    </w:rPr>
                    <w:t>1</w:t>
                  </w:r>
                </w:p>
              </w:tc>
              <w:tc>
                <w:tcPr>
                  <w:tcW w:w="1267"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0.5</w:t>
                  </w:r>
                </w:p>
              </w:tc>
              <w:tc>
                <w:tcPr>
                  <w:tcW w:w="1461"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4</w:t>
                  </w:r>
                </w:p>
              </w:tc>
              <w:tc>
                <w:tcPr>
                  <w:tcW w:w="1325"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0.8</w:t>
                  </w:r>
                </w:p>
              </w:tc>
              <w:tc>
                <w:tcPr>
                  <w:tcW w:w="1472"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6" w:type="dxa"/>
                  <w:vAlign w:val="center"/>
                </w:tcPr>
                <w:p>
                  <w:pPr>
                    <w:spacing w:line="240" w:lineRule="auto"/>
                    <w:jc w:val="center"/>
                    <w:rPr>
                      <w:rFonts w:ascii="Times New Roman" w:hAnsi="Times New Roman"/>
                      <w:sz w:val="21"/>
                      <w:szCs w:val="21"/>
                    </w:rPr>
                  </w:pPr>
                  <w:r>
                    <w:rPr>
                      <w:rFonts w:hint="eastAsia" w:ascii="Times New Roman" w:hAnsi="Times New Roman"/>
                      <w:sz w:val="21"/>
                      <w:szCs w:val="21"/>
                    </w:rPr>
                    <w:t>当量数W</w:t>
                  </w:r>
                </w:p>
              </w:tc>
              <w:tc>
                <w:tcPr>
                  <w:tcW w:w="1210" w:type="dxa"/>
                  <w:vAlign w:val="center"/>
                </w:tcPr>
                <w:p>
                  <w:pPr>
                    <w:spacing w:line="240" w:lineRule="auto"/>
                    <w:jc w:val="center"/>
                    <w:rPr>
                      <w:rFonts w:ascii="Times New Roman" w:hAnsi="Times New Roman"/>
                      <w:spacing w:val="2"/>
                      <w:position w:val="-3"/>
                      <w:sz w:val="21"/>
                      <w:szCs w:val="21"/>
                    </w:rPr>
                  </w:pPr>
                  <w:r>
                    <w:rPr>
                      <w:rFonts w:ascii="Times New Roman" w:hAnsi="Times New Roman"/>
                      <w:spacing w:val="2"/>
                      <w:position w:val="-3"/>
                      <w:sz w:val="21"/>
                      <w:szCs w:val="21"/>
                    </w:rPr>
                    <w:t>2136.78</w:t>
                  </w:r>
                </w:p>
              </w:tc>
              <w:tc>
                <w:tcPr>
                  <w:tcW w:w="1267" w:type="dxa"/>
                  <w:vAlign w:val="center"/>
                </w:tcPr>
                <w:p>
                  <w:pPr>
                    <w:spacing w:line="240" w:lineRule="auto"/>
                    <w:jc w:val="center"/>
                    <w:rPr>
                      <w:rFonts w:ascii="Times New Roman" w:hAnsi="Times New Roman"/>
                      <w:sz w:val="21"/>
                      <w:szCs w:val="21"/>
                    </w:rPr>
                  </w:pPr>
                  <w:r>
                    <w:rPr>
                      <w:rFonts w:ascii="Times New Roman" w:hAnsi="Times New Roman"/>
                      <w:sz w:val="21"/>
                      <w:szCs w:val="21"/>
                    </w:rPr>
                    <w:t>812.4</w:t>
                  </w:r>
                </w:p>
              </w:tc>
              <w:tc>
                <w:tcPr>
                  <w:tcW w:w="1461" w:type="dxa"/>
                  <w:vAlign w:val="center"/>
                </w:tcPr>
                <w:p>
                  <w:pPr>
                    <w:spacing w:line="240" w:lineRule="auto"/>
                    <w:jc w:val="center"/>
                    <w:rPr>
                      <w:rFonts w:ascii="Times New Roman" w:hAnsi="Times New Roman"/>
                      <w:sz w:val="21"/>
                      <w:szCs w:val="21"/>
                    </w:rPr>
                  </w:pPr>
                  <w:r>
                    <w:rPr>
                      <w:rFonts w:ascii="Times New Roman" w:hAnsi="Times New Roman"/>
                      <w:sz w:val="21"/>
                      <w:szCs w:val="21"/>
                    </w:rPr>
                    <w:t>85.5</w:t>
                  </w:r>
                </w:p>
              </w:tc>
              <w:tc>
                <w:tcPr>
                  <w:tcW w:w="1325" w:type="dxa"/>
                  <w:vAlign w:val="center"/>
                </w:tcPr>
                <w:p>
                  <w:pPr>
                    <w:spacing w:line="240" w:lineRule="auto"/>
                    <w:jc w:val="center"/>
                    <w:rPr>
                      <w:rFonts w:ascii="Times New Roman" w:hAnsi="Times New Roman"/>
                      <w:sz w:val="21"/>
                      <w:szCs w:val="21"/>
                    </w:rPr>
                  </w:pPr>
                  <w:r>
                    <w:rPr>
                      <w:rFonts w:ascii="Times New Roman" w:hAnsi="Times New Roman"/>
                      <w:sz w:val="21"/>
                      <w:szCs w:val="21"/>
                    </w:rPr>
                    <w:t>234.6</w:t>
                  </w:r>
                </w:p>
              </w:tc>
              <w:tc>
                <w:tcPr>
                  <w:tcW w:w="1472" w:type="dxa"/>
                  <w:vAlign w:val="center"/>
                </w:tcPr>
                <w:p>
                  <w:pPr>
                    <w:spacing w:line="240" w:lineRule="auto"/>
                    <w:jc w:val="center"/>
                    <w:rPr>
                      <w:rFonts w:ascii="Times New Roman" w:hAnsi="Times New Roman"/>
                      <w:sz w:val="21"/>
                      <w:szCs w:val="21"/>
                    </w:rPr>
                  </w:pPr>
                  <w:r>
                    <w:rPr>
                      <w:rFonts w:ascii="Times New Roman" w:hAnsi="Times New Roman"/>
                      <w:sz w:val="21"/>
                      <w:szCs w:val="21"/>
                    </w:rPr>
                    <w:t>275</w:t>
                  </w:r>
                </w:p>
              </w:tc>
            </w:tr>
          </w:tbl>
          <w:p>
            <w:pPr>
              <w:autoSpaceDE w:val="0"/>
              <w:autoSpaceDN w:val="0"/>
              <w:adjustRightInd w:val="0"/>
              <w:spacing w:line="360" w:lineRule="auto"/>
              <w:ind w:firstLine="504" w:firstLineChars="200"/>
              <w:jc w:val="left"/>
              <w:rPr>
                <w:rFonts w:ascii="Times New Roman" w:hAnsi="Times New Roman"/>
                <w:bCs/>
              </w:rPr>
            </w:pPr>
            <w:r>
              <w:rPr>
                <w:rFonts w:hint="eastAsia" w:ascii="Times New Roman" w:hAnsi="Times New Roman"/>
                <w:spacing w:val="6"/>
                <w:szCs w:val="20"/>
              </w:rPr>
              <w:t>综上，本项目废水经自建</w:t>
            </w:r>
            <w:r>
              <w:rPr>
                <w:rFonts w:ascii="Times New Roman" w:hAnsi="Times New Roman"/>
                <w:bCs/>
              </w:rPr>
              <w:t>污水处理设施（</w:t>
            </w:r>
            <w:r>
              <w:rPr>
                <w:rFonts w:hint="eastAsia" w:ascii="Times New Roman" w:hAnsi="Times New Roman"/>
                <w:bCs/>
              </w:rPr>
              <w:t>MBR</w:t>
            </w:r>
            <w:r>
              <w:rPr>
                <w:rFonts w:ascii="Times New Roman" w:hAnsi="Times New Roman"/>
                <w:bCs/>
              </w:rPr>
              <w:t>处理工艺）</w:t>
            </w:r>
            <w:r>
              <w:rPr>
                <w:rFonts w:hint="eastAsia" w:ascii="Times New Roman" w:hAnsi="Times New Roman"/>
                <w:spacing w:val="6"/>
                <w:szCs w:val="20"/>
              </w:rPr>
              <w:t>，达到</w:t>
            </w:r>
            <w:r>
              <w:rPr>
                <w:rFonts w:ascii="Times New Roman" w:hAnsi="Times New Roman"/>
                <w:lang w:val="zh-CN"/>
              </w:rPr>
              <w:t>《城镇污水处理厂污染物排放标准》（GB18918-2002）一级A标准后</w:t>
            </w:r>
            <w:r>
              <w:rPr>
                <w:rFonts w:hint="eastAsia" w:ascii="Times New Roman" w:hAnsi="Times New Roman"/>
                <w:bCs/>
              </w:rPr>
              <w:t>排入北港河，属于直接排放。废水排放量</w:t>
            </w:r>
            <w:r>
              <w:rPr>
                <w:rFonts w:ascii="Times New Roman" w:hAnsi="Times New Roman"/>
                <w:bCs/>
              </w:rPr>
              <w:t>227.52</w:t>
            </w:r>
            <w:r>
              <w:rPr>
                <w:rFonts w:hint="eastAsia" w:ascii="Times New Roman" w:hAnsi="Times New Roman"/>
                <w:bCs/>
              </w:rPr>
              <w:t>＜</w:t>
            </w:r>
            <w:r>
              <w:rPr>
                <w:rFonts w:hint="eastAsia" w:ascii="Times New Roman" w:hAnsi="Times New Roman"/>
                <w:spacing w:val="6"/>
                <w:szCs w:val="20"/>
              </w:rPr>
              <w:t>Q=</w:t>
            </w:r>
            <w:r>
              <w:rPr>
                <w:rFonts w:hint="eastAsia" w:ascii="Times New Roman" w:hAnsi="Times New Roman"/>
              </w:rPr>
              <w:t>2554.16</w:t>
            </w:r>
            <w:r>
              <w:rPr>
                <w:rFonts w:ascii="Times New Roman" w:hAnsi="Times New Roman"/>
                <w:spacing w:val="6"/>
              </w:rPr>
              <w:t>m</w:t>
            </w:r>
            <w:r>
              <w:rPr>
                <w:rFonts w:ascii="Times New Roman" w:hAnsi="Times New Roman"/>
                <w:spacing w:val="6"/>
                <w:vertAlign w:val="superscript"/>
              </w:rPr>
              <w:t>3</w:t>
            </w:r>
            <w:r>
              <w:rPr>
                <w:rFonts w:ascii="Times New Roman" w:hAnsi="Times New Roman"/>
                <w:spacing w:val="6"/>
              </w:rPr>
              <w:t>/d</w:t>
            </w:r>
            <w:r>
              <w:rPr>
                <w:rFonts w:ascii="Times New Roman" w:hAnsi="Times New Roman"/>
              </w:rPr>
              <w:t>＜</w:t>
            </w:r>
            <w:r>
              <w:rPr>
                <w:rFonts w:hint="eastAsia" w:ascii="Times New Roman" w:hAnsi="Times New Roman"/>
              </w:rPr>
              <w:t>20000，且W</w:t>
            </w:r>
            <w:r>
              <w:rPr>
                <w:rFonts w:hint="eastAsia" w:ascii="Times New Roman" w:hAnsi="Times New Roman"/>
                <w:vertAlign w:val="subscript"/>
              </w:rPr>
              <w:t>max</w:t>
            </w:r>
            <w:r>
              <w:rPr>
                <w:rFonts w:hint="eastAsia" w:ascii="Times New Roman" w:hAnsi="Times New Roman"/>
              </w:rPr>
              <w:t>=</w:t>
            </w:r>
            <w:r>
              <w:rPr>
                <w:rFonts w:ascii="Times New Roman" w:hAnsi="Times New Roman"/>
              </w:rPr>
              <w:t>2136.78</w:t>
            </w:r>
            <w:r>
              <w:rPr>
                <w:rFonts w:ascii="Times New Roman" w:hAnsi="Times New Roman"/>
                <w:bCs/>
              </w:rPr>
              <w:t>＜600</w:t>
            </w:r>
            <w:r>
              <w:rPr>
                <w:rFonts w:hint="eastAsia" w:ascii="Times New Roman" w:hAnsi="Times New Roman"/>
                <w:bCs/>
              </w:rPr>
              <w:t>000，因此确定本项目地表水评价等级为二级。</w:t>
            </w:r>
          </w:p>
          <w:p>
            <w:pPr>
              <w:autoSpaceDE w:val="0"/>
              <w:autoSpaceDN w:val="0"/>
              <w:adjustRightInd w:val="0"/>
              <w:spacing w:line="360" w:lineRule="auto"/>
              <w:ind w:firstLine="480" w:firstLineChars="200"/>
              <w:jc w:val="left"/>
              <w:rPr>
                <w:rFonts w:ascii="Times New Roman" w:hAnsi="Times New Roman"/>
                <w:bCs/>
              </w:rPr>
            </w:pPr>
            <w:r>
              <w:rPr>
                <w:rFonts w:hint="eastAsia" w:ascii="Times New Roman" w:hAnsi="Times New Roman"/>
                <w:bCs/>
              </w:rPr>
              <w:t>（3）水环境影响预测</w:t>
            </w:r>
          </w:p>
          <w:p>
            <w:pPr>
              <w:spacing w:line="360" w:lineRule="auto"/>
              <w:ind w:firstLine="504" w:firstLineChars="200"/>
              <w:rPr>
                <w:rFonts w:ascii="Times New Roman" w:hAnsi="Times New Roman"/>
                <w:spacing w:val="6"/>
              </w:rPr>
            </w:pPr>
            <w:r>
              <w:rPr>
                <w:rFonts w:hint="eastAsia" w:ascii="Times New Roman" w:hAnsi="Times New Roman"/>
                <w:spacing w:val="6"/>
              </w:rPr>
              <w:fldChar w:fldCharType="begin"/>
            </w:r>
            <w:r>
              <w:rPr>
                <w:rFonts w:hint="eastAsia" w:ascii="Times New Roman" w:hAnsi="Times New Roman"/>
                <w:spacing w:val="6"/>
              </w:rPr>
              <w:instrText xml:space="preserve"> = 1 \* GB3 \* MERGEFORMAT </w:instrText>
            </w:r>
            <w:r>
              <w:rPr>
                <w:rFonts w:hint="eastAsia" w:ascii="Times New Roman" w:hAnsi="Times New Roman"/>
                <w:spacing w:val="6"/>
              </w:rPr>
              <w:fldChar w:fldCharType="separate"/>
            </w:r>
            <w:r>
              <w:rPr>
                <w:rFonts w:hint="eastAsia" w:ascii="Times New Roman" w:hAnsi="Times New Roman"/>
                <w:spacing w:val="6"/>
              </w:rPr>
              <w:t>①</w:t>
            </w:r>
            <w:r>
              <w:rPr>
                <w:rFonts w:hint="eastAsia" w:ascii="Times New Roman" w:hAnsi="Times New Roman"/>
                <w:spacing w:val="6"/>
              </w:rPr>
              <w:fldChar w:fldCharType="end"/>
            </w:r>
            <w:r>
              <w:rPr>
                <w:rFonts w:hint="eastAsia" w:ascii="Times New Roman" w:hAnsi="Times New Roman"/>
                <w:spacing w:val="6"/>
              </w:rPr>
              <w:t>预测范围</w:t>
            </w:r>
          </w:p>
          <w:p>
            <w:pPr>
              <w:spacing w:line="360" w:lineRule="auto"/>
              <w:ind w:firstLine="504" w:firstLineChars="200"/>
              <w:rPr>
                <w:rFonts w:ascii="Times New Roman" w:hAnsi="Times New Roman"/>
                <w:spacing w:val="6"/>
              </w:rPr>
            </w:pPr>
            <w:r>
              <w:rPr>
                <w:rFonts w:hint="eastAsia" w:ascii="Times New Roman" w:hAnsi="Times New Roman"/>
                <w:spacing w:val="6"/>
              </w:rPr>
              <w:t>本项目污水经处理后排入北港河，因此环评直接采用北港河作为受体预测。</w:t>
            </w:r>
          </w:p>
          <w:p>
            <w:pPr>
              <w:spacing w:line="360" w:lineRule="auto"/>
              <w:ind w:firstLine="504" w:firstLineChars="200"/>
              <w:rPr>
                <w:rFonts w:ascii="Times New Roman" w:hAnsi="Times New Roman"/>
                <w:spacing w:val="6"/>
              </w:rPr>
            </w:pPr>
            <w:r>
              <w:rPr>
                <w:rFonts w:hint="eastAsia" w:ascii="Times New Roman" w:hAnsi="Times New Roman"/>
                <w:spacing w:val="6"/>
              </w:rPr>
              <w:fldChar w:fldCharType="begin"/>
            </w:r>
            <w:r>
              <w:rPr>
                <w:rFonts w:hint="eastAsia" w:ascii="Times New Roman" w:hAnsi="Times New Roman"/>
                <w:spacing w:val="6"/>
              </w:rPr>
              <w:instrText xml:space="preserve"> = 2 \* GB3 \* MERGEFORMAT </w:instrText>
            </w:r>
            <w:r>
              <w:rPr>
                <w:rFonts w:hint="eastAsia" w:ascii="Times New Roman" w:hAnsi="Times New Roman"/>
                <w:spacing w:val="6"/>
              </w:rPr>
              <w:fldChar w:fldCharType="separate"/>
            </w:r>
            <w:r>
              <w:rPr>
                <w:rFonts w:hint="eastAsia" w:ascii="Times New Roman" w:hAnsi="Times New Roman"/>
                <w:spacing w:val="6"/>
              </w:rPr>
              <w:t>②</w:t>
            </w:r>
            <w:r>
              <w:rPr>
                <w:rFonts w:hint="eastAsia" w:ascii="Times New Roman" w:hAnsi="Times New Roman"/>
                <w:spacing w:val="6"/>
              </w:rPr>
              <w:fldChar w:fldCharType="end"/>
            </w:r>
            <w:r>
              <w:rPr>
                <w:rFonts w:hint="eastAsia" w:ascii="Times New Roman" w:hAnsi="Times New Roman"/>
                <w:spacing w:val="6"/>
              </w:rPr>
              <w:t>预测因子</w:t>
            </w:r>
          </w:p>
          <w:p>
            <w:pPr>
              <w:spacing w:line="360" w:lineRule="auto"/>
              <w:ind w:firstLine="504" w:firstLineChars="200"/>
              <w:rPr>
                <w:rFonts w:ascii="Times New Roman" w:hAnsi="Times New Roman"/>
                <w:spacing w:val="6"/>
              </w:rPr>
            </w:pPr>
            <w:r>
              <w:rPr>
                <w:rFonts w:hint="eastAsia" w:ascii="Times New Roman" w:hAnsi="Times New Roman"/>
                <w:spacing w:val="6"/>
              </w:rPr>
              <w:t>根据项目排污特征，本次评价选取污染因子COD和NH</w:t>
            </w:r>
            <w:r>
              <w:rPr>
                <w:rFonts w:hint="eastAsia" w:ascii="Times New Roman" w:hAnsi="Times New Roman"/>
                <w:spacing w:val="6"/>
                <w:vertAlign w:val="subscript"/>
              </w:rPr>
              <w:t>3</w:t>
            </w:r>
            <w:r>
              <w:rPr>
                <w:rFonts w:hint="eastAsia" w:ascii="Times New Roman" w:hAnsi="Times New Roman"/>
                <w:spacing w:val="6"/>
              </w:rPr>
              <w:t>-N作为预测因子。</w:t>
            </w:r>
          </w:p>
          <w:p>
            <w:pPr>
              <w:spacing w:line="360" w:lineRule="auto"/>
              <w:ind w:firstLine="504" w:firstLineChars="200"/>
              <w:rPr>
                <w:rFonts w:ascii="Times New Roman" w:hAnsi="Times New Roman"/>
                <w:spacing w:val="6"/>
              </w:rPr>
            </w:pPr>
            <w:r>
              <w:rPr>
                <w:rFonts w:hint="eastAsia" w:ascii="Times New Roman" w:hAnsi="Times New Roman"/>
                <w:spacing w:val="6"/>
              </w:rPr>
              <w:fldChar w:fldCharType="begin"/>
            </w:r>
            <w:r>
              <w:rPr>
                <w:rFonts w:hint="eastAsia" w:ascii="Times New Roman" w:hAnsi="Times New Roman"/>
                <w:spacing w:val="6"/>
              </w:rPr>
              <w:instrText xml:space="preserve"> = 3 \* GB3 \* MERGEFORMAT </w:instrText>
            </w:r>
            <w:r>
              <w:rPr>
                <w:rFonts w:hint="eastAsia" w:ascii="Times New Roman" w:hAnsi="Times New Roman"/>
                <w:spacing w:val="6"/>
              </w:rPr>
              <w:fldChar w:fldCharType="separate"/>
            </w:r>
            <w:r>
              <w:rPr>
                <w:rFonts w:hint="eastAsia" w:ascii="Times New Roman" w:hAnsi="Times New Roman"/>
                <w:spacing w:val="6"/>
              </w:rPr>
              <w:t>③</w:t>
            </w:r>
            <w:r>
              <w:rPr>
                <w:rFonts w:hint="eastAsia" w:ascii="Times New Roman" w:hAnsi="Times New Roman"/>
                <w:spacing w:val="6"/>
              </w:rPr>
              <w:fldChar w:fldCharType="end"/>
            </w:r>
            <w:r>
              <w:rPr>
                <w:rFonts w:hint="eastAsia" w:ascii="Times New Roman" w:hAnsi="Times New Roman"/>
                <w:spacing w:val="6"/>
              </w:rPr>
              <w:t>预测内容与时段</w:t>
            </w:r>
          </w:p>
          <w:p>
            <w:pPr>
              <w:spacing w:line="360" w:lineRule="auto"/>
              <w:ind w:firstLine="504" w:firstLineChars="200"/>
              <w:rPr>
                <w:rFonts w:ascii="Times New Roman" w:hAnsi="Times New Roman"/>
                <w:spacing w:val="6"/>
              </w:rPr>
            </w:pPr>
            <w:r>
              <w:rPr>
                <w:rFonts w:hint="eastAsia" w:ascii="Times New Roman" w:hAnsi="Times New Roman"/>
                <w:spacing w:val="6"/>
              </w:rPr>
              <w:t>本项目排污预测内容为正常排放与非正常排放情况下，对北港河水质的影响。</w:t>
            </w:r>
          </w:p>
          <w:p>
            <w:pPr>
              <w:spacing w:line="360" w:lineRule="auto"/>
              <w:ind w:firstLine="504" w:firstLineChars="200"/>
              <w:rPr>
                <w:rFonts w:ascii="Times New Roman" w:hAnsi="Times New Roman"/>
                <w:b/>
                <w:spacing w:val="6"/>
              </w:rPr>
            </w:pPr>
            <w:r>
              <w:rPr>
                <w:rFonts w:hint="eastAsia" w:ascii="Times New Roman" w:hAnsi="Times New Roman"/>
                <w:spacing w:val="6"/>
              </w:rPr>
              <w:fldChar w:fldCharType="begin"/>
            </w:r>
            <w:r>
              <w:rPr>
                <w:rFonts w:hint="eastAsia" w:ascii="Times New Roman" w:hAnsi="Times New Roman"/>
                <w:spacing w:val="6"/>
              </w:rPr>
              <w:instrText xml:space="preserve"> = 4 \* GB3 \* MERGEFORMAT </w:instrText>
            </w:r>
            <w:r>
              <w:rPr>
                <w:rFonts w:hint="eastAsia" w:ascii="Times New Roman" w:hAnsi="Times New Roman"/>
                <w:spacing w:val="6"/>
              </w:rPr>
              <w:fldChar w:fldCharType="separate"/>
            </w:r>
            <w:r>
              <w:rPr>
                <w:rFonts w:hint="eastAsia" w:ascii="Times New Roman" w:hAnsi="Times New Roman"/>
                <w:spacing w:val="6"/>
              </w:rPr>
              <w:t>④</w:t>
            </w:r>
            <w:r>
              <w:rPr>
                <w:rFonts w:hint="eastAsia" w:ascii="Times New Roman" w:hAnsi="Times New Roman"/>
                <w:spacing w:val="6"/>
              </w:rPr>
              <w:fldChar w:fldCharType="end"/>
            </w:r>
            <w:r>
              <w:rPr>
                <w:rFonts w:hint="eastAsia" w:ascii="Times New Roman" w:hAnsi="Times New Roman"/>
                <w:spacing w:val="6"/>
              </w:rPr>
              <w:t>预测</w:t>
            </w:r>
            <w:r>
              <w:rPr>
                <w:rFonts w:hint="eastAsia" w:ascii="Times New Roman" w:hAnsi="Times New Roman"/>
              </w:rPr>
              <w:t>源强</w:t>
            </w:r>
          </w:p>
          <w:p>
            <w:pPr>
              <w:autoSpaceDE w:val="0"/>
              <w:autoSpaceDN w:val="0"/>
              <w:adjustRightInd w:val="0"/>
              <w:spacing w:line="276" w:lineRule="auto"/>
              <w:jc w:val="center"/>
              <w:rPr>
                <w:rFonts w:ascii="Times New Roman" w:hAnsi="Times New Roman"/>
                <w:b/>
                <w:spacing w:val="6"/>
              </w:rPr>
            </w:pPr>
            <w:r>
              <w:rPr>
                <w:rFonts w:hint="eastAsia" w:ascii="Times New Roman" w:hAnsi="Times New Roman"/>
                <w:b/>
                <w:spacing w:val="6"/>
              </w:rPr>
              <w:t>表7-</w:t>
            </w:r>
            <w:r>
              <w:rPr>
                <w:rFonts w:ascii="Times New Roman" w:hAnsi="Times New Roman"/>
                <w:b/>
                <w:spacing w:val="6"/>
              </w:rPr>
              <w:t>9</w:t>
            </w:r>
            <w:r>
              <w:rPr>
                <w:rFonts w:hint="eastAsia" w:ascii="Times New Roman" w:hAnsi="Times New Roman"/>
                <w:b/>
                <w:spacing w:val="6"/>
              </w:rPr>
              <w:t xml:space="preserve">  项目预测源强</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02"/>
              <w:gridCol w:w="2718"/>
              <w:gridCol w:w="2313"/>
              <w:gridCol w:w="23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02" w:type="dxa"/>
                  <w:vMerge w:val="restart"/>
                  <w:vAlign w:val="center"/>
                </w:tcPr>
                <w:p>
                  <w:pPr>
                    <w:spacing w:line="240" w:lineRule="auto"/>
                    <w:jc w:val="center"/>
                    <w:rPr>
                      <w:rFonts w:ascii="Times New Roman" w:hAnsi="Times New Roman"/>
                      <w:b/>
                      <w:bCs/>
                      <w:sz w:val="21"/>
                      <w:szCs w:val="21"/>
                    </w:rPr>
                  </w:pPr>
                  <w:r>
                    <w:rPr>
                      <w:rFonts w:ascii="Times New Roman" w:hAnsi="Times New Roman"/>
                      <w:b/>
                      <w:bCs/>
                      <w:sz w:val="21"/>
                      <w:szCs w:val="21"/>
                    </w:rPr>
                    <w:t>排放状态</w:t>
                  </w:r>
                </w:p>
              </w:tc>
              <w:tc>
                <w:tcPr>
                  <w:tcW w:w="2718" w:type="dxa"/>
                  <w:vMerge w:val="restart"/>
                  <w:vAlign w:val="center"/>
                </w:tcPr>
                <w:p>
                  <w:pPr>
                    <w:spacing w:line="240" w:lineRule="auto"/>
                    <w:jc w:val="center"/>
                    <w:rPr>
                      <w:rFonts w:ascii="Times New Roman" w:hAnsi="Times New Roman"/>
                      <w:b/>
                      <w:bCs/>
                      <w:sz w:val="21"/>
                      <w:szCs w:val="21"/>
                    </w:rPr>
                  </w:pPr>
                  <w:r>
                    <w:rPr>
                      <w:rFonts w:ascii="Times New Roman" w:hAnsi="Times New Roman"/>
                      <w:b/>
                      <w:bCs/>
                      <w:sz w:val="21"/>
                      <w:szCs w:val="21"/>
                    </w:rPr>
                    <w:t>污水量</w:t>
                  </w:r>
                </w:p>
                <w:p>
                  <w:pPr>
                    <w:spacing w:line="240" w:lineRule="auto"/>
                    <w:jc w:val="center"/>
                    <w:rPr>
                      <w:rFonts w:ascii="Times New Roman" w:hAnsi="Times New Roman"/>
                      <w:b/>
                      <w:bCs/>
                      <w:sz w:val="21"/>
                      <w:szCs w:val="21"/>
                    </w:rPr>
                  </w:pPr>
                  <w:r>
                    <w:rPr>
                      <w:rFonts w:ascii="Times New Roman" w:hAnsi="Times New Roman"/>
                      <w:b/>
                      <w:bCs/>
                      <w:sz w:val="21"/>
                      <w:szCs w:val="21"/>
                    </w:rPr>
                    <w:t>（m</w:t>
                  </w:r>
                  <w:r>
                    <w:rPr>
                      <w:rFonts w:ascii="Times New Roman" w:hAnsi="Times New Roman"/>
                      <w:b/>
                      <w:bCs/>
                      <w:sz w:val="21"/>
                      <w:szCs w:val="21"/>
                      <w:vertAlign w:val="superscript"/>
                    </w:rPr>
                    <w:t>3</w:t>
                  </w:r>
                  <w:r>
                    <w:rPr>
                      <w:rFonts w:ascii="Times New Roman" w:hAnsi="Times New Roman"/>
                      <w:b/>
                      <w:bCs/>
                      <w:sz w:val="21"/>
                      <w:szCs w:val="21"/>
                    </w:rPr>
                    <w:t>/d）</w:t>
                  </w:r>
                </w:p>
              </w:tc>
              <w:tc>
                <w:tcPr>
                  <w:tcW w:w="4621" w:type="dxa"/>
                  <w:gridSpan w:val="2"/>
                  <w:vAlign w:val="center"/>
                </w:tcPr>
                <w:p>
                  <w:pPr>
                    <w:spacing w:line="240" w:lineRule="auto"/>
                    <w:jc w:val="center"/>
                    <w:rPr>
                      <w:rFonts w:ascii="Times New Roman" w:hAnsi="Times New Roman"/>
                      <w:b/>
                      <w:bCs/>
                      <w:sz w:val="21"/>
                      <w:szCs w:val="21"/>
                    </w:rPr>
                  </w:pPr>
                  <w:r>
                    <w:rPr>
                      <w:rFonts w:ascii="Times New Roman" w:hAnsi="Times New Roman"/>
                      <w:b/>
                      <w:bCs/>
                      <w:sz w:val="21"/>
                      <w:szCs w:val="21"/>
                    </w:rPr>
                    <w:t>污染物排放浓度（mg/L）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02" w:type="dxa"/>
                  <w:vMerge w:val="continue"/>
                  <w:tcBorders>
                    <w:bottom w:val="single" w:color="auto" w:sz="12" w:space="0"/>
                  </w:tcBorders>
                  <w:vAlign w:val="center"/>
                </w:tcPr>
                <w:p>
                  <w:pPr>
                    <w:spacing w:line="240" w:lineRule="auto"/>
                    <w:jc w:val="center"/>
                    <w:rPr>
                      <w:rFonts w:ascii="Times New Roman" w:hAnsi="Times New Roman"/>
                      <w:b/>
                      <w:bCs/>
                      <w:sz w:val="21"/>
                      <w:szCs w:val="21"/>
                    </w:rPr>
                  </w:pPr>
                </w:p>
              </w:tc>
              <w:tc>
                <w:tcPr>
                  <w:tcW w:w="2718" w:type="dxa"/>
                  <w:vMerge w:val="continue"/>
                  <w:tcBorders>
                    <w:bottom w:val="single" w:color="auto" w:sz="12" w:space="0"/>
                  </w:tcBorders>
                  <w:vAlign w:val="center"/>
                </w:tcPr>
                <w:p>
                  <w:pPr>
                    <w:spacing w:line="240" w:lineRule="auto"/>
                    <w:jc w:val="center"/>
                    <w:rPr>
                      <w:rFonts w:ascii="Times New Roman" w:hAnsi="Times New Roman"/>
                      <w:b/>
                      <w:bCs/>
                      <w:sz w:val="21"/>
                      <w:szCs w:val="21"/>
                    </w:rPr>
                  </w:pPr>
                </w:p>
              </w:tc>
              <w:tc>
                <w:tcPr>
                  <w:tcW w:w="2313" w:type="dxa"/>
                  <w:tcBorders>
                    <w:bottom w:val="single" w:color="auto" w:sz="12" w:space="0"/>
                  </w:tcBorders>
                  <w:vAlign w:val="center"/>
                </w:tcPr>
                <w:p>
                  <w:pPr>
                    <w:spacing w:line="240" w:lineRule="auto"/>
                    <w:jc w:val="center"/>
                    <w:rPr>
                      <w:rFonts w:ascii="Times New Roman" w:hAnsi="Times New Roman"/>
                      <w:b/>
                      <w:bCs/>
                      <w:sz w:val="21"/>
                      <w:szCs w:val="21"/>
                    </w:rPr>
                  </w:pPr>
                  <w:r>
                    <w:rPr>
                      <w:rFonts w:ascii="Times New Roman" w:hAnsi="Times New Roman"/>
                      <w:b/>
                      <w:bCs/>
                      <w:sz w:val="21"/>
                      <w:szCs w:val="21"/>
                    </w:rPr>
                    <w:t>COD</w:t>
                  </w:r>
                </w:p>
              </w:tc>
              <w:tc>
                <w:tcPr>
                  <w:tcW w:w="2308" w:type="dxa"/>
                  <w:tcBorders>
                    <w:bottom w:val="single" w:color="auto" w:sz="12" w:space="0"/>
                  </w:tcBorders>
                  <w:vAlign w:val="center"/>
                </w:tcPr>
                <w:p>
                  <w:pPr>
                    <w:spacing w:line="240" w:lineRule="auto"/>
                    <w:jc w:val="center"/>
                    <w:rPr>
                      <w:rFonts w:ascii="Times New Roman" w:hAnsi="Times New Roman"/>
                      <w:b/>
                      <w:bCs/>
                      <w:sz w:val="21"/>
                      <w:szCs w:val="21"/>
                    </w:rPr>
                  </w:pPr>
                  <w:r>
                    <w:rPr>
                      <w:rFonts w:ascii="Times New Roman" w:hAnsi="Times New Roman"/>
                      <w:b/>
                      <w:bCs/>
                      <w:sz w:val="21"/>
                      <w:szCs w:val="21"/>
                    </w:rPr>
                    <w:t>NH</w:t>
                  </w:r>
                  <w:r>
                    <w:rPr>
                      <w:rFonts w:ascii="Times New Roman" w:hAnsi="Times New Roman"/>
                      <w:b/>
                      <w:bCs/>
                      <w:sz w:val="21"/>
                      <w:szCs w:val="21"/>
                      <w:vertAlign w:val="subscript"/>
                    </w:rPr>
                    <w:t>3</w:t>
                  </w:r>
                  <w:r>
                    <w:rPr>
                      <w:rFonts w:ascii="Times New Roman" w:hAnsi="Times New Roman"/>
                      <w:b/>
                      <w:bCs/>
                      <w:sz w:val="21"/>
                      <w:szCs w:val="21"/>
                    </w:rPr>
                    <w: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02" w:type="dxa"/>
                  <w:tcBorders>
                    <w:top w:val="single" w:color="auto" w:sz="12" w:space="0"/>
                    <w:bottom w:val="single" w:color="auto" w:sz="4"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正常排放</w:t>
                  </w:r>
                </w:p>
              </w:tc>
              <w:tc>
                <w:tcPr>
                  <w:tcW w:w="2718" w:type="dxa"/>
                  <w:tcBorders>
                    <w:top w:val="single" w:color="auto" w:sz="12" w:space="0"/>
                    <w:bottom w:val="single" w:color="auto" w:sz="4"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227.52</w:t>
                  </w:r>
                  <w:r>
                    <w:rPr>
                      <w:rFonts w:hint="eastAsia" w:ascii="Times New Roman" w:hAnsi="Times New Roman"/>
                      <w:sz w:val="21"/>
                      <w:szCs w:val="21"/>
                    </w:rPr>
                    <w:t>m³/d</w:t>
                  </w:r>
                </w:p>
              </w:tc>
              <w:tc>
                <w:tcPr>
                  <w:tcW w:w="2313" w:type="dxa"/>
                  <w:tcBorders>
                    <w:top w:val="single" w:color="auto" w:sz="12" w:space="0"/>
                    <w:bottom w:val="single" w:color="auto" w:sz="4" w:space="0"/>
                  </w:tcBorders>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2.8079</w:t>
                  </w:r>
                </w:p>
              </w:tc>
              <w:tc>
                <w:tcPr>
                  <w:tcW w:w="2308" w:type="dxa"/>
                  <w:tcBorders>
                    <w:top w:val="single" w:color="auto" w:sz="12" w:space="0"/>
                    <w:bottom w:val="single" w:color="auto" w:sz="4" w:space="0"/>
                  </w:tcBorders>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0.1877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02" w:type="dxa"/>
                  <w:tcBorders>
                    <w:top w:val="single" w:color="auto" w:sz="4" w:space="0"/>
                  </w:tcBorders>
                  <w:vAlign w:val="center"/>
                </w:tcPr>
                <w:p>
                  <w:pPr>
                    <w:spacing w:line="240" w:lineRule="auto"/>
                    <w:jc w:val="center"/>
                    <w:rPr>
                      <w:rFonts w:ascii="Times New Roman" w:hAnsi="Times New Roman"/>
                      <w:sz w:val="21"/>
                      <w:szCs w:val="21"/>
                    </w:rPr>
                  </w:pPr>
                  <w:r>
                    <w:rPr>
                      <w:rFonts w:hint="eastAsia" w:ascii="Times New Roman" w:hAnsi="Times New Roman"/>
                      <w:sz w:val="21"/>
                      <w:szCs w:val="21"/>
                    </w:rPr>
                    <w:t>非正常</w:t>
                  </w:r>
                  <w:r>
                    <w:rPr>
                      <w:rFonts w:ascii="Times New Roman" w:hAnsi="Times New Roman"/>
                      <w:sz w:val="21"/>
                      <w:szCs w:val="21"/>
                    </w:rPr>
                    <w:t>排放</w:t>
                  </w:r>
                </w:p>
              </w:tc>
              <w:tc>
                <w:tcPr>
                  <w:tcW w:w="2718" w:type="dxa"/>
                  <w:tcBorders>
                    <w:top w:val="single" w:color="auto" w:sz="4"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227.52</w:t>
                  </w:r>
                  <w:r>
                    <w:rPr>
                      <w:rFonts w:hint="eastAsia" w:ascii="Times New Roman" w:hAnsi="Times New Roman"/>
                      <w:sz w:val="21"/>
                      <w:szCs w:val="21"/>
                    </w:rPr>
                    <w:t>m³/d</w:t>
                  </w:r>
                </w:p>
              </w:tc>
              <w:tc>
                <w:tcPr>
                  <w:tcW w:w="2313" w:type="dxa"/>
                  <w:tcBorders>
                    <w:top w:val="single" w:color="auto" w:sz="4" w:space="0"/>
                  </w:tcBorders>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23.231</w:t>
                  </w:r>
                </w:p>
              </w:tc>
              <w:tc>
                <w:tcPr>
                  <w:tcW w:w="2308" w:type="dxa"/>
                  <w:tcBorders>
                    <w:top w:val="single" w:color="auto" w:sz="4" w:space="0"/>
                  </w:tcBorders>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1.727</w:t>
                  </w:r>
                </w:p>
              </w:tc>
            </w:tr>
          </w:tbl>
          <w:p>
            <w:pPr>
              <w:spacing w:line="360" w:lineRule="auto"/>
              <w:ind w:firstLine="504" w:firstLineChars="200"/>
              <w:rPr>
                <w:rFonts w:ascii="Times New Roman" w:hAnsi="Times New Roman"/>
                <w:spacing w:val="6"/>
              </w:rPr>
            </w:pPr>
            <w:r>
              <w:rPr>
                <w:rFonts w:hint="eastAsia" w:ascii="Times New Roman" w:hAnsi="Times New Roman"/>
                <w:spacing w:val="6"/>
              </w:rPr>
              <w:fldChar w:fldCharType="begin"/>
            </w:r>
            <w:r>
              <w:rPr>
                <w:rFonts w:hint="eastAsia" w:ascii="Times New Roman" w:hAnsi="Times New Roman"/>
                <w:spacing w:val="6"/>
              </w:rPr>
              <w:instrText xml:space="preserve"> = 5 \* GB3 \* MERGEFORMAT </w:instrText>
            </w:r>
            <w:r>
              <w:rPr>
                <w:rFonts w:hint="eastAsia" w:ascii="Times New Roman" w:hAnsi="Times New Roman"/>
                <w:spacing w:val="6"/>
              </w:rPr>
              <w:fldChar w:fldCharType="separate"/>
            </w:r>
            <w:r>
              <w:rPr>
                <w:rFonts w:hint="eastAsia" w:ascii="Times New Roman" w:hAnsi="Times New Roman"/>
                <w:spacing w:val="6"/>
              </w:rPr>
              <w:t>⑤</w:t>
            </w:r>
            <w:r>
              <w:rPr>
                <w:rFonts w:hint="eastAsia" w:ascii="Times New Roman" w:hAnsi="Times New Roman"/>
                <w:spacing w:val="6"/>
              </w:rPr>
              <w:fldChar w:fldCharType="end"/>
            </w:r>
            <w:r>
              <w:rPr>
                <w:rFonts w:hint="eastAsia" w:ascii="Times New Roman" w:hAnsi="Times New Roman"/>
                <w:spacing w:val="6"/>
              </w:rPr>
              <w:t>水文参数</w:t>
            </w:r>
          </w:p>
          <w:p>
            <w:pPr>
              <w:spacing w:line="360" w:lineRule="auto"/>
              <w:ind w:firstLine="504" w:firstLineChars="200"/>
              <w:rPr>
                <w:rFonts w:ascii="Times New Roman" w:hAnsi="Times New Roman"/>
                <w:spacing w:val="6"/>
              </w:rPr>
            </w:pPr>
            <w:r>
              <w:rPr>
                <w:rFonts w:ascii="Times New Roman" w:hAnsi="Times New Roman"/>
                <w:spacing w:val="6"/>
              </w:rPr>
              <w:t>1</w:t>
            </w:r>
            <w:r>
              <w:rPr>
                <w:rFonts w:hint="eastAsia" w:ascii="Times New Roman" w:hAnsi="Times New Roman"/>
                <w:spacing w:val="6"/>
              </w:rPr>
              <w:t>）横向混合系数</w:t>
            </w:r>
          </w:p>
          <w:p>
            <w:pPr>
              <w:spacing w:line="360" w:lineRule="auto"/>
              <w:ind w:firstLine="504" w:firstLineChars="200"/>
              <w:rPr>
                <w:rFonts w:ascii="Times New Roman" w:hAnsi="Times New Roman"/>
                <w:spacing w:val="6"/>
              </w:rPr>
            </w:pPr>
            <w:r>
              <w:rPr>
                <w:rFonts w:hint="eastAsia" w:ascii="Times New Roman" w:hAnsi="Times New Roman"/>
                <w:spacing w:val="6"/>
              </w:rPr>
              <w:t>横向混合系数E</w:t>
            </w:r>
            <w:r>
              <w:rPr>
                <w:rFonts w:ascii="Times New Roman" w:hAnsi="Times New Roman"/>
                <w:spacing w:val="6"/>
              </w:rPr>
              <w:t>y</w:t>
            </w:r>
            <w:r>
              <w:rPr>
                <w:rFonts w:hint="eastAsia" w:ascii="Times New Roman" w:hAnsi="Times New Roman"/>
                <w:spacing w:val="6"/>
              </w:rPr>
              <w:t>采用泰勒法计算，公式为：</w:t>
            </w:r>
          </w:p>
          <w:p>
            <w:pPr>
              <w:spacing w:line="360" w:lineRule="auto"/>
              <w:ind w:firstLine="504" w:firstLineChars="200"/>
              <w:rPr>
                <w:rFonts w:ascii="Times New Roman" w:hAnsi="Times New Roman"/>
                <w:spacing w:val="6"/>
              </w:rPr>
            </w:pPr>
            <w:r>
              <w:rPr>
                <w:rFonts w:hint="eastAsia" w:ascii="Times New Roman" w:hAnsi="Times New Roman"/>
                <w:spacing w:val="6"/>
              </w:rPr>
              <w:t>E</w:t>
            </w:r>
            <w:r>
              <w:rPr>
                <w:rFonts w:ascii="Times New Roman" w:hAnsi="Times New Roman"/>
                <w:spacing w:val="6"/>
              </w:rPr>
              <w:t>y=</w:t>
            </w:r>
            <w:r>
              <w:rPr>
                <w:rFonts w:hint="eastAsia" w:ascii="Times New Roman" w:hAnsi="Times New Roman"/>
                <w:spacing w:val="6"/>
              </w:rPr>
              <w:t>（</w:t>
            </w:r>
            <w:r>
              <w:rPr>
                <w:rFonts w:ascii="Times New Roman" w:hAnsi="Times New Roman"/>
                <w:spacing w:val="6"/>
              </w:rPr>
              <w:t>0.058H+0.0065B</w:t>
            </w:r>
            <w:r>
              <w:rPr>
                <w:rFonts w:hint="eastAsia" w:ascii="Times New Roman" w:hAnsi="Times New Roman"/>
                <w:spacing w:val="6"/>
              </w:rPr>
              <w:t>）（</w:t>
            </w:r>
            <w:r>
              <w:rPr>
                <w:rFonts w:ascii="Times New Roman" w:hAnsi="Times New Roman"/>
                <w:spacing w:val="6"/>
              </w:rPr>
              <w:t>gHI</w:t>
            </w:r>
            <w:r>
              <w:rPr>
                <w:rFonts w:hint="eastAsia" w:ascii="Times New Roman" w:hAnsi="Times New Roman"/>
                <w:spacing w:val="6"/>
              </w:rPr>
              <w:t>）</w:t>
            </w:r>
            <w:r>
              <w:rPr>
                <w:rFonts w:ascii="Times New Roman" w:hAnsi="Times New Roman"/>
                <w:spacing w:val="6"/>
                <w:vertAlign w:val="superscript"/>
              </w:rPr>
              <w:t xml:space="preserve">1/2          </w:t>
            </w:r>
            <w:r>
              <w:rPr>
                <w:rFonts w:ascii="Times New Roman" w:hAnsi="Times New Roman"/>
                <w:spacing w:val="6"/>
              </w:rPr>
              <w:t>B/H</w:t>
            </w:r>
            <w:r>
              <w:rPr>
                <w:rFonts w:hint="eastAsia" w:ascii="Times New Roman" w:hAnsi="Times New Roman"/>
                <w:spacing w:val="6"/>
              </w:rPr>
              <w:t>＜</w:t>
            </w:r>
            <w:r>
              <w:rPr>
                <w:rFonts w:ascii="Times New Roman" w:hAnsi="Times New Roman"/>
                <w:spacing w:val="6"/>
              </w:rPr>
              <w:t>100</w:t>
            </w:r>
          </w:p>
          <w:p>
            <w:pPr>
              <w:spacing w:line="360" w:lineRule="auto"/>
              <w:ind w:firstLine="504" w:firstLineChars="200"/>
              <w:rPr>
                <w:rFonts w:ascii="Times New Roman" w:hAnsi="Times New Roman"/>
                <w:spacing w:val="6"/>
              </w:rPr>
            </w:pPr>
            <w:r>
              <w:rPr>
                <w:rFonts w:hint="eastAsia" w:ascii="Times New Roman" w:hAnsi="Times New Roman"/>
                <w:spacing w:val="6"/>
              </w:rPr>
              <w:t>式中：</w:t>
            </w:r>
            <w:r>
              <w:rPr>
                <w:rFonts w:ascii="Times New Roman" w:hAnsi="Times New Roman"/>
                <w:spacing w:val="6"/>
              </w:rPr>
              <w:t>g</w:t>
            </w:r>
            <w:r>
              <w:rPr>
                <w:rFonts w:hint="eastAsia" w:ascii="Times New Roman" w:hAnsi="Times New Roman"/>
                <w:spacing w:val="6"/>
              </w:rPr>
              <w:t>——重力加速度，</w:t>
            </w:r>
            <w:r>
              <w:rPr>
                <w:rFonts w:ascii="Times New Roman" w:hAnsi="Times New Roman"/>
                <w:spacing w:val="6"/>
              </w:rPr>
              <w:t>m/s</w:t>
            </w:r>
            <w:r>
              <w:rPr>
                <w:rFonts w:ascii="Times New Roman" w:hAnsi="Times New Roman"/>
                <w:spacing w:val="6"/>
                <w:vertAlign w:val="superscript"/>
              </w:rPr>
              <w:t>2</w:t>
            </w:r>
            <w:r>
              <w:rPr>
                <w:rFonts w:hint="eastAsia" w:ascii="Times New Roman" w:hAnsi="Times New Roman"/>
                <w:spacing w:val="6"/>
              </w:rPr>
              <w:t>；</w:t>
            </w:r>
          </w:p>
          <w:p>
            <w:pPr>
              <w:spacing w:line="360" w:lineRule="auto"/>
              <w:ind w:firstLine="504" w:firstLineChars="200"/>
              <w:rPr>
                <w:rFonts w:ascii="Times New Roman" w:hAnsi="Times New Roman"/>
                <w:spacing w:val="6"/>
              </w:rPr>
            </w:pPr>
            <w:r>
              <w:rPr>
                <w:rFonts w:ascii="Times New Roman" w:hAnsi="Times New Roman"/>
                <w:spacing w:val="6"/>
              </w:rPr>
              <w:t>I</w:t>
            </w:r>
            <w:r>
              <w:rPr>
                <w:rFonts w:hint="eastAsia" w:ascii="Times New Roman" w:hAnsi="Times New Roman"/>
                <w:spacing w:val="6"/>
              </w:rPr>
              <w:t>——水力坡降；</w:t>
            </w:r>
          </w:p>
          <w:p>
            <w:pPr>
              <w:spacing w:line="360" w:lineRule="auto"/>
              <w:ind w:firstLine="504" w:firstLineChars="200"/>
              <w:rPr>
                <w:rFonts w:ascii="Times New Roman" w:hAnsi="Times New Roman"/>
                <w:spacing w:val="6"/>
              </w:rPr>
            </w:pPr>
            <w:r>
              <w:rPr>
                <w:rFonts w:ascii="Times New Roman" w:hAnsi="Times New Roman"/>
                <w:spacing w:val="6"/>
              </w:rPr>
              <w:t>H</w:t>
            </w:r>
            <w:r>
              <w:rPr>
                <w:rFonts w:hint="eastAsia" w:ascii="Times New Roman" w:hAnsi="Times New Roman"/>
                <w:spacing w:val="6"/>
              </w:rPr>
              <w:t>——河流深度；</w:t>
            </w:r>
          </w:p>
          <w:p>
            <w:pPr>
              <w:spacing w:line="360" w:lineRule="auto"/>
              <w:ind w:firstLine="504" w:firstLineChars="200"/>
              <w:rPr>
                <w:rFonts w:ascii="Times New Roman" w:hAnsi="Times New Roman"/>
                <w:spacing w:val="6"/>
              </w:rPr>
            </w:pPr>
            <w:r>
              <w:rPr>
                <w:rFonts w:ascii="Times New Roman" w:hAnsi="Times New Roman"/>
                <w:spacing w:val="6"/>
              </w:rPr>
              <w:t>B</w:t>
            </w:r>
            <w:r>
              <w:rPr>
                <w:rFonts w:hint="eastAsia" w:ascii="Times New Roman" w:hAnsi="Times New Roman"/>
                <w:spacing w:val="6"/>
              </w:rPr>
              <w:t>——河流宽度。</w:t>
            </w:r>
          </w:p>
          <w:p>
            <w:pPr>
              <w:spacing w:line="360" w:lineRule="auto"/>
              <w:ind w:firstLine="504" w:firstLineChars="200"/>
              <w:rPr>
                <w:rFonts w:ascii="Times New Roman" w:hAnsi="Times New Roman"/>
                <w:spacing w:val="6"/>
              </w:rPr>
            </w:pPr>
            <w:r>
              <w:rPr>
                <w:rFonts w:hint="eastAsia" w:ascii="Times New Roman" w:hAnsi="Times New Roman"/>
                <w:spacing w:val="6"/>
              </w:rPr>
              <w:t>经计算，枯水期E</w:t>
            </w:r>
            <w:r>
              <w:rPr>
                <w:rFonts w:ascii="Times New Roman" w:hAnsi="Times New Roman"/>
                <w:spacing w:val="6"/>
              </w:rPr>
              <w:t>y=0.</w:t>
            </w:r>
            <w:r>
              <w:rPr>
                <w:rFonts w:hint="eastAsia" w:ascii="Times New Roman" w:hAnsi="Times New Roman"/>
                <w:spacing w:val="6"/>
              </w:rPr>
              <w:t>0137</w:t>
            </w:r>
            <w:r>
              <w:rPr>
                <w:rFonts w:ascii="Times New Roman" w:hAnsi="Times New Roman"/>
                <w:spacing w:val="6"/>
              </w:rPr>
              <w:t>m</w:t>
            </w:r>
            <w:r>
              <w:rPr>
                <w:rFonts w:ascii="Times New Roman" w:hAnsi="Times New Roman"/>
                <w:spacing w:val="6"/>
                <w:vertAlign w:val="superscript"/>
              </w:rPr>
              <w:t>2</w:t>
            </w:r>
            <w:r>
              <w:rPr>
                <w:rFonts w:ascii="Times New Roman" w:hAnsi="Times New Roman"/>
                <w:spacing w:val="6"/>
              </w:rPr>
              <w:t>/s</w:t>
            </w:r>
            <w:r>
              <w:rPr>
                <w:rFonts w:hint="eastAsia" w:ascii="Times New Roman" w:hAnsi="Times New Roman"/>
                <w:spacing w:val="6"/>
              </w:rPr>
              <w:t>。</w:t>
            </w:r>
          </w:p>
          <w:p>
            <w:pPr>
              <w:numPr>
                <w:ilvl w:val="0"/>
                <w:numId w:val="9"/>
              </w:numPr>
              <w:spacing w:line="360" w:lineRule="auto"/>
              <w:ind w:firstLine="504" w:firstLineChars="200"/>
              <w:rPr>
                <w:rFonts w:ascii="Times New Roman" w:hAnsi="Times New Roman"/>
                <w:spacing w:val="6"/>
              </w:rPr>
            </w:pPr>
            <w:r>
              <w:rPr>
                <w:rFonts w:hint="eastAsia" w:ascii="Times New Roman" w:hAnsi="Times New Roman"/>
                <w:spacing w:val="6"/>
              </w:rPr>
              <w:t>纵向混合参数</w:t>
            </w:r>
          </w:p>
          <w:p>
            <w:pPr>
              <w:spacing w:line="360" w:lineRule="auto"/>
              <w:ind w:firstLine="504" w:firstLineChars="200"/>
              <w:rPr>
                <w:rFonts w:ascii="Times New Roman" w:hAnsi="Times New Roman"/>
                <w:spacing w:val="6"/>
              </w:rPr>
            </w:pPr>
            <w:r>
              <w:rPr>
                <w:rFonts w:hint="eastAsia" w:ascii="Times New Roman" w:hAnsi="Times New Roman"/>
                <w:spacing w:val="6"/>
              </w:rPr>
              <w:t>Ex</w:t>
            </w:r>
            <w:r>
              <w:rPr>
                <w:rFonts w:ascii="Times New Roman" w:hAnsi="Times New Roman"/>
                <w:spacing w:val="6"/>
              </w:rPr>
              <w:t>=</w:t>
            </w:r>
            <w:r>
              <w:rPr>
                <w:rFonts w:hint="eastAsia" w:ascii="Times New Roman" w:hAnsi="Times New Roman"/>
                <w:spacing w:val="6"/>
              </w:rPr>
              <w:t>ah</w:t>
            </w:r>
            <w:r>
              <w:rPr>
                <w:rFonts w:ascii="Times New Roman" w:hAnsi="Times New Roman"/>
                <w:spacing w:val="6"/>
              </w:rPr>
              <w:t>u</w:t>
            </w:r>
            <w:r>
              <w:rPr>
                <w:rFonts w:hint="eastAsia" w:ascii="Times New Roman" w:hAnsi="Times New Roman"/>
                <w:spacing w:val="6"/>
              </w:rPr>
              <w:t xml:space="preserve"> ，a</w:t>
            </w:r>
            <w:r>
              <w:rPr>
                <w:rFonts w:ascii="Times New Roman" w:hAnsi="Times New Roman"/>
                <w:spacing w:val="6"/>
              </w:rPr>
              <w:t>=</w:t>
            </w:r>
            <w:r>
              <w:rPr>
                <w:rFonts w:hint="eastAsia" w:ascii="Times New Roman" w:hAnsi="Times New Roman"/>
                <w:spacing w:val="6"/>
              </w:rPr>
              <w:t>2.0（w/h）</w:t>
            </w:r>
            <w:r>
              <w:rPr>
                <w:rFonts w:hint="eastAsia" w:ascii="Times New Roman" w:hAnsi="Times New Roman"/>
                <w:spacing w:val="6"/>
                <w:vertAlign w:val="superscript"/>
              </w:rPr>
              <w:t>1.5</w:t>
            </w:r>
          </w:p>
          <w:p>
            <w:pPr>
              <w:spacing w:line="360" w:lineRule="auto"/>
              <w:ind w:firstLine="504" w:firstLineChars="200"/>
              <w:rPr>
                <w:rFonts w:ascii="Times New Roman" w:hAnsi="Times New Roman"/>
                <w:spacing w:val="6"/>
              </w:rPr>
            </w:pPr>
            <w:r>
              <w:rPr>
                <w:rFonts w:hint="eastAsia" w:ascii="Times New Roman" w:hAnsi="Times New Roman"/>
                <w:spacing w:val="6"/>
              </w:rPr>
              <w:t>式中</w:t>
            </w:r>
            <w:r>
              <w:rPr>
                <w:rFonts w:ascii="Times New Roman" w:hAnsi="Times New Roman"/>
                <w:spacing w:val="6"/>
              </w:rPr>
              <w:t xml:space="preserve"> </w:t>
            </w:r>
            <w:r>
              <w:rPr>
                <w:rFonts w:hint="eastAsia" w:ascii="Times New Roman" w:hAnsi="Times New Roman"/>
                <w:spacing w:val="6"/>
              </w:rPr>
              <w:t>：</w:t>
            </w:r>
            <w:r>
              <w:rPr>
                <w:rFonts w:ascii="Times New Roman" w:hAnsi="Times New Roman"/>
                <w:spacing w:val="6"/>
                <w:vertAlign w:val="superscript"/>
              </w:rPr>
              <w:t xml:space="preserve"> </w:t>
            </w:r>
            <w:r>
              <w:rPr>
                <w:rFonts w:hint="eastAsia" w:ascii="Times New Roman" w:hAnsi="Times New Roman"/>
                <w:spacing w:val="6"/>
              </w:rPr>
              <w:t xml:space="preserve">u </w:t>
            </w:r>
            <w:r>
              <w:rPr>
                <w:rFonts w:ascii="Times New Roman" w:hAnsi="Times New Roman"/>
                <w:spacing w:val="6"/>
              </w:rPr>
              <w:t>——</w:t>
            </w:r>
            <w:r>
              <w:rPr>
                <w:rFonts w:hint="eastAsia" w:ascii="Times New Roman" w:hAnsi="Times New Roman"/>
                <w:spacing w:val="6"/>
              </w:rPr>
              <w:t>断面流速，m/s；</w:t>
            </w:r>
          </w:p>
          <w:p>
            <w:pPr>
              <w:spacing w:line="360" w:lineRule="auto"/>
              <w:ind w:firstLine="504" w:firstLineChars="200"/>
              <w:rPr>
                <w:rFonts w:ascii="Times New Roman" w:hAnsi="Times New Roman"/>
                <w:spacing w:val="6"/>
              </w:rPr>
            </w:pPr>
            <w:r>
              <w:rPr>
                <w:rFonts w:hint="eastAsia" w:ascii="Times New Roman" w:hAnsi="Times New Roman"/>
                <w:spacing w:val="6"/>
              </w:rPr>
              <w:t>h</w:t>
            </w:r>
            <w:r>
              <w:rPr>
                <w:rFonts w:ascii="Times New Roman" w:hAnsi="Times New Roman"/>
                <w:spacing w:val="6"/>
              </w:rPr>
              <w:t>——</w:t>
            </w:r>
            <w:r>
              <w:rPr>
                <w:rFonts w:hint="eastAsia" w:ascii="Times New Roman" w:hAnsi="Times New Roman"/>
                <w:spacing w:val="6"/>
              </w:rPr>
              <w:t>河流深度，m；</w:t>
            </w:r>
          </w:p>
          <w:p>
            <w:pPr>
              <w:spacing w:line="360" w:lineRule="auto"/>
              <w:ind w:firstLine="504" w:firstLineChars="200"/>
              <w:rPr>
                <w:rFonts w:ascii="Times New Roman" w:hAnsi="Times New Roman"/>
                <w:spacing w:val="6"/>
              </w:rPr>
            </w:pPr>
            <w:r>
              <w:rPr>
                <w:rFonts w:hint="eastAsia" w:ascii="Times New Roman" w:hAnsi="Times New Roman"/>
                <w:spacing w:val="6"/>
              </w:rPr>
              <w:t>w</w:t>
            </w:r>
            <w:r>
              <w:rPr>
                <w:rFonts w:ascii="Times New Roman" w:hAnsi="Times New Roman"/>
                <w:spacing w:val="6"/>
              </w:rPr>
              <w:t>——</w:t>
            </w:r>
            <w:r>
              <w:rPr>
                <w:rFonts w:hint="eastAsia" w:ascii="Times New Roman" w:hAnsi="Times New Roman"/>
                <w:spacing w:val="6"/>
              </w:rPr>
              <w:t>河流宽度，m。</w:t>
            </w:r>
          </w:p>
          <w:p>
            <w:pPr>
              <w:spacing w:line="360" w:lineRule="auto"/>
              <w:ind w:firstLine="504" w:firstLineChars="200"/>
              <w:rPr>
                <w:rFonts w:ascii="Times New Roman" w:hAnsi="Times New Roman"/>
                <w:spacing w:val="6"/>
              </w:rPr>
            </w:pPr>
            <w:r>
              <w:rPr>
                <w:rFonts w:hint="eastAsia" w:ascii="Times New Roman" w:hAnsi="Times New Roman"/>
                <w:spacing w:val="6"/>
              </w:rPr>
              <w:t>经计算，可得枯水期Ex</w:t>
            </w:r>
            <w:r>
              <w:rPr>
                <w:rFonts w:ascii="Times New Roman" w:hAnsi="Times New Roman"/>
                <w:spacing w:val="6"/>
              </w:rPr>
              <w:t>=</w:t>
            </w:r>
            <w:r>
              <w:rPr>
                <w:rFonts w:hint="eastAsia" w:ascii="Times New Roman" w:hAnsi="Times New Roman"/>
                <w:spacing w:val="6"/>
              </w:rPr>
              <w:t>9.9766</w:t>
            </w:r>
            <w:r>
              <w:rPr>
                <w:rFonts w:ascii="Times New Roman" w:hAnsi="Times New Roman"/>
                <w:spacing w:val="6"/>
              </w:rPr>
              <w:t>m</w:t>
            </w:r>
            <w:r>
              <w:rPr>
                <w:rFonts w:ascii="Times New Roman" w:hAnsi="Times New Roman"/>
                <w:spacing w:val="6"/>
                <w:vertAlign w:val="superscript"/>
              </w:rPr>
              <w:t>2</w:t>
            </w:r>
            <w:r>
              <w:rPr>
                <w:rFonts w:ascii="Times New Roman" w:hAnsi="Times New Roman"/>
                <w:spacing w:val="6"/>
              </w:rPr>
              <w:t>/s</w:t>
            </w:r>
            <w:r>
              <w:rPr>
                <w:rFonts w:hint="eastAsia" w:ascii="Times New Roman" w:hAnsi="Times New Roman"/>
                <w:spacing w:val="6"/>
              </w:rPr>
              <w:t>。</w:t>
            </w:r>
          </w:p>
          <w:p>
            <w:pPr>
              <w:spacing w:line="360" w:lineRule="auto"/>
              <w:jc w:val="center"/>
              <w:rPr>
                <w:rFonts w:ascii="Times New Roman" w:hAnsi="Times New Roman" w:eastAsia="宋体"/>
                <w:b/>
                <w:bCs/>
              </w:rPr>
            </w:pPr>
            <w:r>
              <w:rPr>
                <w:rFonts w:ascii="Times New Roman" w:hAnsi="Times New Roman" w:eastAsia="宋体"/>
                <w:b/>
                <w:bCs/>
              </w:rPr>
              <w:t>表</w:t>
            </w:r>
            <w:r>
              <w:rPr>
                <w:rFonts w:hint="eastAsia" w:ascii="Times New Roman" w:hAnsi="Times New Roman" w:eastAsia="宋体"/>
                <w:b/>
                <w:bCs/>
              </w:rPr>
              <w:t>7-1</w:t>
            </w:r>
            <w:r>
              <w:rPr>
                <w:rFonts w:ascii="Times New Roman" w:hAnsi="Times New Roman" w:eastAsia="宋体"/>
                <w:b/>
                <w:bCs/>
              </w:rPr>
              <w:t xml:space="preserve">0  </w:t>
            </w:r>
            <w:r>
              <w:rPr>
                <w:rFonts w:hint="eastAsia" w:ascii="Times New Roman" w:hAnsi="Times New Roman" w:eastAsia="宋体"/>
                <w:b/>
                <w:bCs/>
              </w:rPr>
              <w:t xml:space="preserve"> </w:t>
            </w:r>
            <w:r>
              <w:rPr>
                <w:rFonts w:ascii="Times New Roman" w:hAnsi="Times New Roman" w:eastAsia="宋体"/>
                <w:b/>
                <w:bCs/>
              </w:rPr>
              <w:t>水文参数</w:t>
            </w:r>
            <w:r>
              <w:rPr>
                <w:rFonts w:hint="eastAsia" w:ascii="Times New Roman" w:hAnsi="Times New Roman" w:eastAsia="宋体"/>
                <w:b/>
                <w:bCs/>
              </w:rPr>
              <w:t>（枯水期）</w:t>
            </w:r>
          </w:p>
          <w:tbl>
            <w:tblPr>
              <w:tblStyle w:val="23"/>
              <w:tblW w:w="9241" w:type="dxa"/>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838"/>
              <w:gridCol w:w="780"/>
              <w:gridCol w:w="716"/>
              <w:gridCol w:w="1111"/>
              <w:gridCol w:w="709"/>
              <w:gridCol w:w="850"/>
              <w:gridCol w:w="851"/>
              <w:gridCol w:w="850"/>
              <w:gridCol w:w="836"/>
              <w:gridCol w:w="584"/>
              <w:gridCol w:w="1116"/>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jc w:val="center"/>
              </w:trPr>
              <w:tc>
                <w:tcPr>
                  <w:tcW w:w="838"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hint="eastAsia" w:ascii="Times New Roman" w:hAnsi="Times New Roman" w:eastAsia="宋体"/>
                      <w:b/>
                      <w:bCs/>
                      <w:sz w:val="21"/>
                      <w:szCs w:val="21"/>
                    </w:rPr>
                    <w:t>河流</w:t>
                  </w:r>
                </w:p>
              </w:tc>
              <w:tc>
                <w:tcPr>
                  <w:tcW w:w="780"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ascii="Times New Roman" w:hAnsi="Times New Roman" w:eastAsia="宋体"/>
                      <w:b/>
                      <w:bCs/>
                      <w:sz w:val="21"/>
                      <w:szCs w:val="21"/>
                    </w:rPr>
                    <w:t>流量(m</w:t>
                  </w:r>
                  <w:r>
                    <w:rPr>
                      <w:rFonts w:ascii="Times New Roman" w:hAnsi="Times New Roman" w:eastAsia="宋体"/>
                      <w:b/>
                      <w:bCs/>
                      <w:sz w:val="21"/>
                      <w:szCs w:val="21"/>
                      <w:vertAlign w:val="superscript"/>
                    </w:rPr>
                    <w:t>3</w:t>
                  </w:r>
                  <w:r>
                    <w:rPr>
                      <w:rFonts w:ascii="Times New Roman" w:hAnsi="Times New Roman" w:eastAsia="宋体"/>
                      <w:b/>
                      <w:bCs/>
                      <w:sz w:val="21"/>
                      <w:szCs w:val="21"/>
                    </w:rPr>
                    <w:t>/s)</w:t>
                  </w:r>
                </w:p>
              </w:tc>
              <w:tc>
                <w:tcPr>
                  <w:tcW w:w="716"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ascii="Times New Roman" w:hAnsi="Times New Roman" w:eastAsia="宋体"/>
                      <w:b/>
                      <w:bCs/>
                      <w:sz w:val="21"/>
                      <w:szCs w:val="21"/>
                    </w:rPr>
                    <w:t>流速(m/s)</w:t>
                  </w:r>
                </w:p>
              </w:tc>
              <w:tc>
                <w:tcPr>
                  <w:tcW w:w="1111"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hint="eastAsia" w:ascii="Times New Roman" w:hAnsi="Times New Roman" w:eastAsia="宋体"/>
                      <w:b/>
                      <w:bCs/>
                      <w:sz w:val="21"/>
                      <w:szCs w:val="21"/>
                    </w:rPr>
                    <w:t>评价段</w:t>
                  </w:r>
                  <w:r>
                    <w:rPr>
                      <w:rFonts w:ascii="Times New Roman" w:hAnsi="Times New Roman" w:eastAsia="宋体"/>
                      <w:b/>
                      <w:bCs/>
                      <w:sz w:val="21"/>
                      <w:szCs w:val="21"/>
                    </w:rPr>
                    <w:t>平均河宽（m）</w:t>
                  </w:r>
                </w:p>
              </w:tc>
              <w:tc>
                <w:tcPr>
                  <w:tcW w:w="709"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hint="eastAsia" w:ascii="Times New Roman" w:hAnsi="Times New Roman" w:eastAsia="宋体"/>
                      <w:b/>
                      <w:bCs/>
                      <w:sz w:val="21"/>
                      <w:szCs w:val="21"/>
                    </w:rPr>
                    <w:t>水深(m)</w:t>
                  </w:r>
                </w:p>
              </w:tc>
              <w:tc>
                <w:tcPr>
                  <w:tcW w:w="850"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ascii="Times New Roman" w:hAnsi="Times New Roman" w:eastAsia="宋体"/>
                      <w:b/>
                      <w:bCs/>
                      <w:sz w:val="21"/>
                      <w:szCs w:val="21"/>
                    </w:rPr>
                    <w:t>水力坡度（‰）</w:t>
                  </w:r>
                </w:p>
              </w:tc>
              <w:tc>
                <w:tcPr>
                  <w:tcW w:w="851"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hint="eastAsia" w:ascii="Times New Roman" w:hAnsi="Times New Roman" w:eastAsia="宋体"/>
                      <w:b/>
                      <w:bCs/>
                      <w:sz w:val="21"/>
                      <w:szCs w:val="21"/>
                    </w:rPr>
                    <w:t>E</w:t>
                  </w:r>
                  <w:r>
                    <w:rPr>
                      <w:rFonts w:ascii="Times New Roman" w:hAnsi="Times New Roman" w:eastAsia="宋体"/>
                      <w:b/>
                      <w:bCs/>
                      <w:sz w:val="21"/>
                      <w:szCs w:val="21"/>
                    </w:rPr>
                    <w:t>y</w:t>
                  </w:r>
                </w:p>
                <w:p>
                  <w:pPr>
                    <w:pStyle w:val="42"/>
                    <w:rPr>
                      <w:rFonts w:ascii="Times New Roman" w:hAnsi="Times New Roman" w:eastAsia="宋体"/>
                      <w:b/>
                      <w:bCs/>
                      <w:sz w:val="21"/>
                      <w:szCs w:val="21"/>
                    </w:rPr>
                  </w:pPr>
                  <w:r>
                    <w:rPr>
                      <w:rFonts w:ascii="Times New Roman" w:hAnsi="Times New Roman" w:eastAsia="宋体"/>
                      <w:b/>
                      <w:bCs/>
                      <w:sz w:val="21"/>
                      <w:szCs w:val="21"/>
                    </w:rPr>
                    <w:t>(m</w:t>
                  </w:r>
                  <w:r>
                    <w:rPr>
                      <w:rFonts w:ascii="Times New Roman" w:hAnsi="Times New Roman" w:eastAsia="宋体"/>
                      <w:b/>
                      <w:bCs/>
                      <w:sz w:val="21"/>
                      <w:szCs w:val="21"/>
                      <w:vertAlign w:val="superscript"/>
                    </w:rPr>
                    <w:t>2</w:t>
                  </w:r>
                  <w:r>
                    <w:rPr>
                      <w:rFonts w:ascii="Times New Roman" w:hAnsi="Times New Roman" w:eastAsia="宋体"/>
                      <w:b/>
                      <w:bCs/>
                      <w:sz w:val="21"/>
                      <w:szCs w:val="21"/>
                    </w:rPr>
                    <w:t>/s)</w:t>
                  </w:r>
                </w:p>
              </w:tc>
              <w:tc>
                <w:tcPr>
                  <w:tcW w:w="850"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hint="eastAsia" w:ascii="Times New Roman" w:hAnsi="Times New Roman" w:eastAsia="宋体"/>
                      <w:b/>
                      <w:bCs/>
                      <w:sz w:val="21"/>
                      <w:szCs w:val="21"/>
                    </w:rPr>
                    <w:t>Ex</w:t>
                  </w:r>
                </w:p>
                <w:p>
                  <w:pPr>
                    <w:pStyle w:val="42"/>
                    <w:rPr>
                      <w:rFonts w:ascii="Times New Roman" w:hAnsi="Times New Roman" w:eastAsia="宋体"/>
                      <w:b/>
                      <w:bCs/>
                      <w:sz w:val="21"/>
                      <w:szCs w:val="21"/>
                    </w:rPr>
                  </w:pPr>
                  <w:r>
                    <w:rPr>
                      <w:rFonts w:ascii="Times New Roman" w:hAnsi="Times New Roman" w:eastAsia="宋体"/>
                      <w:b/>
                      <w:bCs/>
                      <w:sz w:val="21"/>
                      <w:szCs w:val="21"/>
                    </w:rPr>
                    <w:t>(m</w:t>
                  </w:r>
                  <w:r>
                    <w:rPr>
                      <w:rFonts w:ascii="Times New Roman" w:hAnsi="Times New Roman" w:eastAsia="宋体"/>
                      <w:b/>
                      <w:bCs/>
                      <w:sz w:val="21"/>
                      <w:szCs w:val="21"/>
                      <w:vertAlign w:val="superscript"/>
                    </w:rPr>
                    <w:t>2</w:t>
                  </w:r>
                  <w:r>
                    <w:rPr>
                      <w:rFonts w:ascii="Times New Roman" w:hAnsi="Times New Roman" w:eastAsia="宋体"/>
                      <w:b/>
                      <w:bCs/>
                      <w:sz w:val="21"/>
                      <w:szCs w:val="21"/>
                    </w:rPr>
                    <w:t>/s)</w:t>
                  </w:r>
                </w:p>
              </w:tc>
              <w:tc>
                <w:tcPr>
                  <w:tcW w:w="1420" w:type="dxa"/>
                  <w:gridSpan w:val="2"/>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ascii="Times New Roman" w:hAnsi="Times New Roman" w:eastAsia="宋体"/>
                      <w:b/>
                      <w:bCs/>
                      <w:sz w:val="21"/>
                      <w:szCs w:val="21"/>
                    </w:rPr>
                    <w:t>K1   (1/d)</w:t>
                  </w:r>
                </w:p>
              </w:tc>
              <w:tc>
                <w:tcPr>
                  <w:tcW w:w="1116" w:type="dxa"/>
                  <w:tcBorders>
                    <w:top w:val="single" w:color="000000" w:sz="12" w:space="0"/>
                    <w:bottom w:val="single" w:color="000000" w:sz="12" w:space="0"/>
                  </w:tcBorders>
                  <w:vAlign w:val="center"/>
                </w:tcPr>
                <w:p>
                  <w:pPr>
                    <w:pStyle w:val="42"/>
                    <w:rPr>
                      <w:rFonts w:ascii="Times New Roman" w:hAnsi="Times New Roman" w:eastAsia="宋体"/>
                      <w:b/>
                      <w:bCs/>
                      <w:sz w:val="21"/>
                      <w:szCs w:val="21"/>
                    </w:rPr>
                  </w:pPr>
                  <w:r>
                    <w:rPr>
                      <w:rFonts w:ascii="Times New Roman" w:hAnsi="Times New Roman" w:eastAsia="宋体"/>
                      <w:b/>
                      <w:bCs/>
                      <w:sz w:val="21"/>
                      <w:szCs w:val="21"/>
                    </w:rPr>
                    <w:t>背景浓度（mg/L）</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jc w:val="center"/>
              </w:trPr>
              <w:tc>
                <w:tcPr>
                  <w:tcW w:w="838"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北港河</w:t>
                  </w:r>
                </w:p>
              </w:tc>
              <w:tc>
                <w:tcPr>
                  <w:tcW w:w="780"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1.44</w:t>
                  </w:r>
                </w:p>
              </w:tc>
              <w:tc>
                <w:tcPr>
                  <w:tcW w:w="716"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0.12</w:t>
                  </w:r>
                </w:p>
              </w:tc>
              <w:tc>
                <w:tcPr>
                  <w:tcW w:w="1111"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12</w:t>
                  </w:r>
                </w:p>
              </w:tc>
              <w:tc>
                <w:tcPr>
                  <w:tcW w:w="709"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1</w:t>
                  </w:r>
                </w:p>
              </w:tc>
              <w:tc>
                <w:tcPr>
                  <w:tcW w:w="850"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1</w:t>
                  </w:r>
                </w:p>
              </w:tc>
              <w:tc>
                <w:tcPr>
                  <w:tcW w:w="851" w:type="dxa"/>
                  <w:vMerge w:val="restart"/>
                  <w:tcBorders>
                    <w:top w:val="single" w:color="000000" w:sz="12" w:space="0"/>
                  </w:tcBorders>
                  <w:vAlign w:val="center"/>
                </w:tcPr>
                <w:p>
                  <w:pPr>
                    <w:pStyle w:val="42"/>
                    <w:rPr>
                      <w:rFonts w:ascii="Times New Roman" w:hAnsi="Times New Roman" w:eastAsia="宋体"/>
                      <w:sz w:val="21"/>
                      <w:szCs w:val="21"/>
                    </w:rPr>
                  </w:pPr>
                  <w:r>
                    <w:rPr>
                      <w:rFonts w:ascii="Times New Roman" w:hAnsi="Times New Roman" w:eastAsia="宋体"/>
                      <w:sz w:val="21"/>
                      <w:szCs w:val="21"/>
                    </w:rPr>
                    <w:t>0.</w:t>
                  </w:r>
                  <w:r>
                    <w:rPr>
                      <w:rFonts w:hint="eastAsia" w:ascii="Times New Roman" w:hAnsi="Times New Roman" w:eastAsia="宋体"/>
                      <w:sz w:val="21"/>
                      <w:szCs w:val="21"/>
                    </w:rPr>
                    <w:t>0137</w:t>
                  </w:r>
                </w:p>
              </w:tc>
              <w:tc>
                <w:tcPr>
                  <w:tcW w:w="850" w:type="dxa"/>
                  <w:vMerge w:val="restart"/>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9.9766</w:t>
                  </w:r>
                </w:p>
              </w:tc>
              <w:tc>
                <w:tcPr>
                  <w:tcW w:w="836" w:type="dxa"/>
                  <w:tcBorders>
                    <w:top w:val="single" w:color="000000" w:sz="12" w:space="0"/>
                  </w:tcBorders>
                  <w:vAlign w:val="center"/>
                </w:tcPr>
                <w:p>
                  <w:pPr>
                    <w:pStyle w:val="42"/>
                    <w:rPr>
                      <w:rFonts w:ascii="Times New Roman" w:hAnsi="Times New Roman" w:eastAsia="宋体"/>
                      <w:sz w:val="21"/>
                      <w:szCs w:val="21"/>
                    </w:rPr>
                  </w:pPr>
                  <w:r>
                    <w:rPr>
                      <w:rFonts w:ascii="Times New Roman" w:hAnsi="Times New Roman" w:eastAsia="宋体"/>
                      <w:sz w:val="21"/>
                      <w:szCs w:val="21"/>
                    </w:rPr>
                    <w:t>COD</w:t>
                  </w:r>
                </w:p>
              </w:tc>
              <w:tc>
                <w:tcPr>
                  <w:tcW w:w="584" w:type="dxa"/>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0.18</w:t>
                  </w:r>
                </w:p>
              </w:tc>
              <w:tc>
                <w:tcPr>
                  <w:tcW w:w="1116" w:type="dxa"/>
                  <w:tcBorders>
                    <w:top w:val="single" w:color="000000" w:sz="12" w:space="0"/>
                  </w:tcBorders>
                  <w:vAlign w:val="center"/>
                </w:tcPr>
                <w:p>
                  <w:pPr>
                    <w:pStyle w:val="42"/>
                    <w:rPr>
                      <w:rFonts w:ascii="Times New Roman" w:hAnsi="Times New Roman" w:eastAsia="宋体"/>
                      <w:sz w:val="21"/>
                      <w:szCs w:val="21"/>
                    </w:rPr>
                  </w:pPr>
                  <w:r>
                    <w:rPr>
                      <w:rFonts w:hint="eastAsia" w:ascii="Times New Roman" w:hAnsi="Times New Roman" w:eastAsia="宋体"/>
                      <w:sz w:val="21"/>
                      <w:szCs w:val="21"/>
                    </w:rPr>
                    <w:t>22.6</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jc w:val="center"/>
              </w:trPr>
              <w:tc>
                <w:tcPr>
                  <w:tcW w:w="838" w:type="dxa"/>
                  <w:vMerge w:val="continue"/>
                  <w:vAlign w:val="center"/>
                </w:tcPr>
                <w:p>
                  <w:pPr>
                    <w:pStyle w:val="42"/>
                    <w:rPr>
                      <w:rFonts w:ascii="Times New Roman" w:hAnsi="Times New Roman" w:eastAsia="宋体"/>
                      <w:sz w:val="21"/>
                      <w:szCs w:val="21"/>
                    </w:rPr>
                  </w:pPr>
                </w:p>
              </w:tc>
              <w:tc>
                <w:tcPr>
                  <w:tcW w:w="780" w:type="dxa"/>
                  <w:vMerge w:val="continue"/>
                  <w:vAlign w:val="center"/>
                </w:tcPr>
                <w:p>
                  <w:pPr>
                    <w:pStyle w:val="42"/>
                    <w:rPr>
                      <w:rFonts w:ascii="Times New Roman" w:hAnsi="Times New Roman" w:eastAsia="宋体"/>
                      <w:sz w:val="21"/>
                      <w:szCs w:val="21"/>
                    </w:rPr>
                  </w:pPr>
                </w:p>
              </w:tc>
              <w:tc>
                <w:tcPr>
                  <w:tcW w:w="716" w:type="dxa"/>
                  <w:vMerge w:val="continue"/>
                  <w:vAlign w:val="center"/>
                </w:tcPr>
                <w:p>
                  <w:pPr>
                    <w:pStyle w:val="42"/>
                    <w:rPr>
                      <w:rFonts w:ascii="Times New Roman" w:hAnsi="Times New Roman" w:eastAsia="宋体"/>
                      <w:sz w:val="21"/>
                      <w:szCs w:val="21"/>
                    </w:rPr>
                  </w:pPr>
                </w:p>
              </w:tc>
              <w:tc>
                <w:tcPr>
                  <w:tcW w:w="1111" w:type="dxa"/>
                  <w:vMerge w:val="continue"/>
                  <w:vAlign w:val="center"/>
                </w:tcPr>
                <w:p>
                  <w:pPr>
                    <w:pStyle w:val="42"/>
                    <w:rPr>
                      <w:rFonts w:ascii="Times New Roman" w:hAnsi="Times New Roman" w:eastAsia="宋体"/>
                      <w:sz w:val="21"/>
                      <w:szCs w:val="21"/>
                    </w:rPr>
                  </w:pPr>
                </w:p>
              </w:tc>
              <w:tc>
                <w:tcPr>
                  <w:tcW w:w="709" w:type="dxa"/>
                  <w:vMerge w:val="continue"/>
                  <w:vAlign w:val="center"/>
                </w:tcPr>
                <w:p>
                  <w:pPr>
                    <w:pStyle w:val="42"/>
                    <w:rPr>
                      <w:rFonts w:ascii="Times New Roman" w:hAnsi="Times New Roman" w:eastAsia="宋体"/>
                      <w:sz w:val="21"/>
                      <w:szCs w:val="21"/>
                    </w:rPr>
                  </w:pPr>
                </w:p>
              </w:tc>
              <w:tc>
                <w:tcPr>
                  <w:tcW w:w="850" w:type="dxa"/>
                  <w:vMerge w:val="continue"/>
                  <w:vAlign w:val="center"/>
                </w:tcPr>
                <w:p>
                  <w:pPr>
                    <w:pStyle w:val="42"/>
                    <w:rPr>
                      <w:rFonts w:ascii="Times New Roman" w:hAnsi="Times New Roman" w:eastAsia="宋体"/>
                      <w:sz w:val="21"/>
                      <w:szCs w:val="21"/>
                    </w:rPr>
                  </w:pPr>
                </w:p>
              </w:tc>
              <w:tc>
                <w:tcPr>
                  <w:tcW w:w="851" w:type="dxa"/>
                  <w:vMerge w:val="continue"/>
                  <w:vAlign w:val="center"/>
                </w:tcPr>
                <w:p>
                  <w:pPr>
                    <w:pStyle w:val="42"/>
                    <w:rPr>
                      <w:rFonts w:ascii="Times New Roman" w:hAnsi="Times New Roman" w:eastAsia="宋体"/>
                      <w:sz w:val="21"/>
                      <w:szCs w:val="21"/>
                    </w:rPr>
                  </w:pPr>
                </w:p>
              </w:tc>
              <w:tc>
                <w:tcPr>
                  <w:tcW w:w="850" w:type="dxa"/>
                  <w:vMerge w:val="continue"/>
                  <w:vAlign w:val="center"/>
                </w:tcPr>
                <w:p>
                  <w:pPr>
                    <w:pStyle w:val="42"/>
                    <w:rPr>
                      <w:rFonts w:ascii="Times New Roman" w:hAnsi="Times New Roman" w:eastAsia="宋体"/>
                      <w:sz w:val="21"/>
                      <w:szCs w:val="21"/>
                    </w:rPr>
                  </w:pPr>
                </w:p>
              </w:tc>
              <w:tc>
                <w:tcPr>
                  <w:tcW w:w="836" w:type="dxa"/>
                  <w:vAlign w:val="center"/>
                </w:tcPr>
                <w:p>
                  <w:pPr>
                    <w:pStyle w:val="42"/>
                    <w:rPr>
                      <w:rFonts w:ascii="Times New Roman" w:hAnsi="Times New Roman" w:eastAsia="宋体"/>
                      <w:sz w:val="21"/>
                      <w:szCs w:val="21"/>
                    </w:rPr>
                  </w:pPr>
                  <w:r>
                    <w:rPr>
                      <w:rFonts w:ascii="Times New Roman" w:hAnsi="Times New Roman" w:eastAsia="宋体"/>
                      <w:sz w:val="21"/>
                      <w:szCs w:val="21"/>
                    </w:rPr>
                    <w:t>NH</w:t>
                  </w:r>
                  <w:r>
                    <w:rPr>
                      <w:rFonts w:ascii="Times New Roman" w:hAnsi="Times New Roman" w:eastAsia="宋体"/>
                      <w:sz w:val="21"/>
                      <w:szCs w:val="21"/>
                      <w:vertAlign w:val="subscript"/>
                    </w:rPr>
                    <w:t>3</w:t>
                  </w:r>
                  <w:r>
                    <w:rPr>
                      <w:rFonts w:ascii="Times New Roman" w:hAnsi="Times New Roman" w:eastAsia="宋体"/>
                      <w:sz w:val="21"/>
                      <w:szCs w:val="21"/>
                    </w:rPr>
                    <w:t>-N</w:t>
                  </w:r>
                </w:p>
              </w:tc>
              <w:tc>
                <w:tcPr>
                  <w:tcW w:w="584" w:type="dxa"/>
                  <w:vAlign w:val="center"/>
                </w:tcPr>
                <w:p>
                  <w:pPr>
                    <w:pStyle w:val="42"/>
                    <w:rPr>
                      <w:rFonts w:ascii="Times New Roman" w:hAnsi="Times New Roman" w:eastAsia="宋体"/>
                      <w:sz w:val="21"/>
                      <w:szCs w:val="21"/>
                    </w:rPr>
                  </w:pPr>
                  <w:r>
                    <w:rPr>
                      <w:rFonts w:hint="eastAsia" w:ascii="Times New Roman" w:hAnsi="Times New Roman" w:eastAsia="宋体"/>
                      <w:sz w:val="21"/>
                      <w:szCs w:val="21"/>
                    </w:rPr>
                    <w:t>0.12</w:t>
                  </w:r>
                </w:p>
              </w:tc>
              <w:tc>
                <w:tcPr>
                  <w:tcW w:w="1116" w:type="dxa"/>
                  <w:vAlign w:val="center"/>
                </w:tcPr>
                <w:p>
                  <w:pPr>
                    <w:pStyle w:val="42"/>
                    <w:rPr>
                      <w:rFonts w:ascii="Times New Roman" w:hAnsi="Times New Roman" w:eastAsia="宋体"/>
                      <w:sz w:val="21"/>
                      <w:szCs w:val="21"/>
                    </w:rPr>
                  </w:pPr>
                  <w:r>
                    <w:rPr>
                      <w:rFonts w:hint="eastAsia" w:ascii="Times New Roman" w:hAnsi="Times New Roman" w:eastAsia="宋体"/>
                      <w:sz w:val="21"/>
                      <w:szCs w:val="21"/>
                    </w:rPr>
                    <w:t>3.67</w:t>
                  </w:r>
                </w:p>
              </w:tc>
            </w:tr>
          </w:tbl>
          <w:p>
            <w:pPr>
              <w:spacing w:line="360" w:lineRule="auto"/>
              <w:ind w:firstLine="504" w:firstLineChars="200"/>
              <w:rPr>
                <w:rFonts w:ascii="Times New Roman" w:hAnsi="Times New Roman" w:eastAsia="宋体"/>
                <w:spacing w:val="6"/>
                <w:szCs w:val="24"/>
              </w:rPr>
            </w:pPr>
            <w:r>
              <w:rPr>
                <w:rFonts w:hint="eastAsia" w:ascii="Times New Roman" w:hAnsi="Times New Roman" w:eastAsia="宋体"/>
                <w:spacing w:val="6"/>
                <w:szCs w:val="24"/>
              </w:rPr>
              <w:fldChar w:fldCharType="begin"/>
            </w:r>
            <w:r>
              <w:rPr>
                <w:rFonts w:hint="eastAsia" w:ascii="Times New Roman" w:hAnsi="Times New Roman" w:eastAsia="宋体"/>
                <w:spacing w:val="6"/>
                <w:szCs w:val="24"/>
              </w:rPr>
              <w:instrText xml:space="preserve"> = 6 \* GB3 \* MERGEFORMAT </w:instrText>
            </w:r>
            <w:r>
              <w:rPr>
                <w:rFonts w:hint="eastAsia" w:ascii="Times New Roman" w:hAnsi="Times New Roman" w:eastAsia="宋体"/>
                <w:spacing w:val="6"/>
                <w:szCs w:val="24"/>
              </w:rPr>
              <w:fldChar w:fldCharType="separate"/>
            </w:r>
            <w:r>
              <w:rPr>
                <w:rFonts w:hint="eastAsia" w:ascii="Times New Roman" w:hAnsi="Times New Roman" w:eastAsia="宋体"/>
                <w:spacing w:val="6"/>
                <w:szCs w:val="24"/>
              </w:rPr>
              <w:t>⑥</w:t>
            </w:r>
            <w:r>
              <w:rPr>
                <w:rFonts w:hint="eastAsia" w:ascii="Times New Roman" w:hAnsi="Times New Roman" w:eastAsia="宋体"/>
                <w:spacing w:val="6"/>
                <w:szCs w:val="24"/>
              </w:rPr>
              <w:fldChar w:fldCharType="end"/>
            </w:r>
            <w:r>
              <w:rPr>
                <w:rFonts w:hint="eastAsia" w:ascii="Times New Roman" w:hAnsi="Times New Roman" w:eastAsia="宋体"/>
                <w:spacing w:val="6"/>
                <w:szCs w:val="24"/>
              </w:rPr>
              <w:t>预测模式</w:t>
            </w:r>
          </w:p>
          <w:p>
            <w:pPr>
              <w:widowControl/>
              <w:ind w:firstLine="480" w:firstLineChars="200"/>
              <w:jc w:val="left"/>
              <w:rPr>
                <w:rFonts w:ascii="宋体" w:hAnsi="宋体" w:eastAsia="宋体" w:cs="宋体"/>
                <w:color w:val="000000"/>
                <w:kern w:val="0"/>
                <w:szCs w:val="24"/>
                <w:lang w:bidi="ar"/>
              </w:rPr>
            </w:pPr>
            <w:r>
              <w:rPr>
                <w:rFonts w:hint="eastAsia" w:ascii="宋体" w:hAnsi="宋体" w:eastAsia="宋体" w:cs="宋体"/>
                <w:color w:val="000000"/>
                <w:kern w:val="0"/>
                <w:szCs w:val="24"/>
                <w:lang w:bidi="ar"/>
              </w:rPr>
              <w:t>1）</w:t>
            </w:r>
            <w:r>
              <w:rPr>
                <w:rFonts w:ascii="宋体" w:hAnsi="宋体" w:eastAsia="宋体" w:cs="宋体"/>
                <w:color w:val="000000"/>
                <w:kern w:val="0"/>
                <w:szCs w:val="24"/>
                <w:lang w:bidi="ar"/>
              </w:rPr>
              <w:t>混合过程段的估算</w:t>
            </w:r>
          </w:p>
          <w:p>
            <w:pPr>
              <w:widowControl/>
              <w:ind w:firstLine="480" w:firstLineChars="200"/>
              <w:jc w:val="left"/>
              <w:rPr>
                <w:rFonts w:ascii="宋体" w:hAnsi="宋体" w:eastAsia="宋体" w:cs="宋体"/>
                <w:color w:val="000000"/>
                <w:kern w:val="0"/>
                <w:szCs w:val="24"/>
                <w:lang w:bidi="ar"/>
              </w:rPr>
            </w:pPr>
            <w:r>
              <w:rPr>
                <w:rFonts w:hint="eastAsia" w:ascii="宋体" w:hAnsi="宋体" w:eastAsia="宋体" w:cs="宋体"/>
                <w:color w:val="000000"/>
                <w:kern w:val="0"/>
                <w:szCs w:val="24"/>
                <w:lang w:bidi="ar"/>
              </w:rPr>
              <w:t>依据导则，混合过程的长度由下式估算：</w:t>
            </w:r>
          </w:p>
          <w:p>
            <w:pPr>
              <w:pStyle w:val="4"/>
              <w:outlineLvl w:val="0"/>
            </w:pPr>
            <w:bookmarkStart w:id="74" w:name="_Toc34059546"/>
            <w:r>
              <w:rPr>
                <w:rFonts w:hint="eastAsia"/>
              </w:rPr>
              <w:drawing>
                <wp:anchor distT="0" distB="0" distL="114300" distR="114300" simplePos="0" relativeHeight="251657216" behindDoc="0" locked="0" layoutInCell="1" allowOverlap="1">
                  <wp:simplePos x="0" y="0"/>
                  <wp:positionH relativeFrom="page">
                    <wp:posOffset>1280160</wp:posOffset>
                  </wp:positionH>
                  <wp:positionV relativeFrom="page">
                    <wp:posOffset>7919085</wp:posOffset>
                  </wp:positionV>
                  <wp:extent cx="2840355" cy="643890"/>
                  <wp:effectExtent l="0" t="0" r="0" b="381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643890"/>
                          </a:xfrm>
                          <a:prstGeom prst="rect">
                            <a:avLst/>
                          </a:prstGeom>
                          <a:noFill/>
                          <a:ln>
                            <a:noFill/>
                          </a:ln>
                          <a:effectLst/>
                        </pic:spPr>
                      </pic:pic>
                    </a:graphicData>
                  </a:graphic>
                </wp:anchor>
              </w:drawing>
            </w:r>
            <w:bookmarkEnd w:id="74"/>
          </w:p>
          <w:p/>
          <w:p>
            <w:pPr>
              <w:spacing w:line="360" w:lineRule="auto"/>
              <w:ind w:firstLine="480" w:firstLineChars="200"/>
              <w:rPr>
                <w:rFonts w:ascii="Times New Roman" w:hAnsi="Times New Roman" w:eastAsia="宋体"/>
              </w:rPr>
            </w:pPr>
            <w:r>
              <w:rPr>
                <w:rFonts w:hint="eastAsia" w:ascii="Times New Roman" w:hAnsi="Times New Roman" w:eastAsia="宋体"/>
              </w:rPr>
              <w:t>式中：L</w:t>
            </w:r>
            <w:r>
              <w:rPr>
                <w:rFonts w:hint="eastAsia" w:ascii="Times New Roman" w:hAnsi="Times New Roman" w:eastAsia="宋体"/>
                <w:vertAlign w:val="subscript"/>
              </w:rPr>
              <w:t>m</w:t>
            </w:r>
            <w:r>
              <w:rPr>
                <w:rFonts w:ascii="Times New Roman" w:hAnsi="Times New Roman" w:eastAsia="宋体"/>
              </w:rPr>
              <w:t>——</w:t>
            </w:r>
            <w:r>
              <w:rPr>
                <w:rFonts w:hint="eastAsia" w:ascii="Times New Roman" w:hAnsi="Times New Roman" w:eastAsia="宋体"/>
              </w:rPr>
              <w:t>混合段长度，m；</w:t>
            </w:r>
          </w:p>
          <w:p>
            <w:pPr>
              <w:spacing w:line="360" w:lineRule="auto"/>
              <w:ind w:firstLine="1200" w:firstLineChars="500"/>
              <w:rPr>
                <w:rFonts w:ascii="Times New Roman" w:hAnsi="Times New Roman" w:eastAsia="宋体"/>
              </w:rPr>
            </w:pPr>
            <w:r>
              <w:rPr>
                <w:rFonts w:hint="eastAsia" w:ascii="Times New Roman" w:hAnsi="Times New Roman" w:eastAsia="宋体"/>
              </w:rPr>
              <w:t>B</w:t>
            </w:r>
            <w:r>
              <w:rPr>
                <w:rFonts w:ascii="Times New Roman" w:hAnsi="Times New Roman" w:eastAsia="宋体"/>
              </w:rPr>
              <w:t>——</w:t>
            </w:r>
            <w:r>
              <w:rPr>
                <w:rFonts w:hint="eastAsia" w:ascii="Times New Roman" w:hAnsi="Times New Roman" w:eastAsia="宋体"/>
              </w:rPr>
              <w:t>水面宽度，m；</w:t>
            </w:r>
          </w:p>
          <w:p>
            <w:pPr>
              <w:spacing w:line="360" w:lineRule="auto"/>
              <w:ind w:firstLine="1200" w:firstLineChars="500"/>
              <w:rPr>
                <w:rFonts w:ascii="Times New Roman" w:hAnsi="Times New Roman" w:eastAsia="宋体"/>
              </w:rPr>
            </w:pPr>
            <w:r>
              <w:rPr>
                <w:rFonts w:hint="eastAsia" w:ascii="Times New Roman" w:hAnsi="Times New Roman" w:eastAsia="宋体"/>
              </w:rPr>
              <w:t>a</w:t>
            </w:r>
            <w:r>
              <w:rPr>
                <w:rFonts w:ascii="Times New Roman" w:hAnsi="Times New Roman" w:eastAsia="宋体"/>
              </w:rPr>
              <w:t>——</w:t>
            </w:r>
            <w:r>
              <w:rPr>
                <w:rFonts w:hint="eastAsia" w:ascii="Times New Roman" w:hAnsi="Times New Roman" w:eastAsia="宋体"/>
              </w:rPr>
              <w:t>排污口至岸边距离（岸边排放距离a=0），m；</w:t>
            </w:r>
          </w:p>
          <w:p>
            <w:pPr>
              <w:spacing w:line="360" w:lineRule="auto"/>
              <w:ind w:firstLine="1200" w:firstLineChars="500"/>
              <w:rPr>
                <w:rFonts w:ascii="Times New Roman" w:hAnsi="Times New Roman" w:eastAsia="宋体"/>
              </w:rPr>
            </w:pPr>
            <w:r>
              <w:rPr>
                <w:rFonts w:hint="eastAsia" w:ascii="Times New Roman" w:hAnsi="Times New Roman" w:eastAsia="宋体"/>
              </w:rPr>
              <w:t>u</w:t>
            </w:r>
            <w:r>
              <w:rPr>
                <w:rFonts w:ascii="Times New Roman" w:hAnsi="Times New Roman" w:eastAsia="宋体"/>
              </w:rPr>
              <w:t>——</w:t>
            </w:r>
            <w:r>
              <w:rPr>
                <w:rFonts w:hint="eastAsia" w:ascii="Times New Roman" w:hAnsi="Times New Roman" w:eastAsia="宋体"/>
              </w:rPr>
              <w:t>断面流速，m/s；</w:t>
            </w:r>
          </w:p>
          <w:p>
            <w:pPr>
              <w:spacing w:line="360" w:lineRule="auto"/>
              <w:ind w:firstLine="1200" w:firstLineChars="500"/>
              <w:rPr>
                <w:rFonts w:ascii="Times New Roman" w:hAnsi="Times New Roman" w:eastAsia="宋体"/>
              </w:rPr>
            </w:pPr>
            <w:r>
              <w:rPr>
                <w:rFonts w:hint="eastAsia" w:ascii="Times New Roman" w:hAnsi="Times New Roman" w:eastAsia="宋体"/>
              </w:rPr>
              <w:t>H</w:t>
            </w:r>
            <w:r>
              <w:rPr>
                <w:rFonts w:ascii="Times New Roman" w:hAnsi="Times New Roman" w:eastAsia="宋体"/>
              </w:rPr>
              <w:t>——</w:t>
            </w:r>
            <w:r>
              <w:rPr>
                <w:rFonts w:hint="eastAsia" w:ascii="Times New Roman" w:hAnsi="Times New Roman" w:eastAsia="宋体"/>
              </w:rPr>
              <w:t>平均水深，m；</w:t>
            </w:r>
          </w:p>
          <w:p>
            <w:pPr>
              <w:spacing w:line="360" w:lineRule="auto"/>
              <w:ind w:firstLine="1200" w:firstLineChars="500"/>
              <w:rPr>
                <w:rFonts w:ascii="Times New Roman" w:hAnsi="Times New Roman" w:eastAsia="宋体"/>
              </w:rPr>
            </w:pPr>
            <w:r>
              <w:rPr>
                <w:rFonts w:hint="eastAsia" w:ascii="Times New Roman" w:hAnsi="Times New Roman" w:eastAsia="宋体"/>
              </w:rPr>
              <w:t>Ey</w:t>
            </w:r>
            <w:r>
              <w:rPr>
                <w:rFonts w:ascii="Times New Roman" w:hAnsi="Times New Roman" w:eastAsia="宋体"/>
              </w:rPr>
              <w:t>——</w:t>
            </w:r>
            <w:r>
              <w:rPr>
                <w:rFonts w:hint="eastAsia" w:ascii="Times New Roman" w:hAnsi="Times New Roman" w:eastAsia="宋体"/>
              </w:rPr>
              <w:t>污染物横向扩散系数，m</w:t>
            </w:r>
            <w:r>
              <w:rPr>
                <w:rFonts w:hint="eastAsia" w:ascii="Times New Roman" w:hAnsi="Times New Roman" w:eastAsia="宋体"/>
                <w:vertAlign w:val="superscript"/>
              </w:rPr>
              <w:t>2</w:t>
            </w:r>
            <w:r>
              <w:rPr>
                <w:rFonts w:hint="eastAsia" w:ascii="Times New Roman" w:hAnsi="Times New Roman" w:eastAsia="宋体"/>
              </w:rPr>
              <w:t>/s；</w:t>
            </w:r>
          </w:p>
          <w:p>
            <w:pPr>
              <w:spacing w:line="360" w:lineRule="auto"/>
              <w:ind w:firstLine="480" w:firstLineChars="200"/>
              <w:rPr>
                <w:rFonts w:ascii="Times New Roman" w:hAnsi="Times New Roman" w:eastAsia="宋体"/>
                <w:spacing w:val="6"/>
                <w:szCs w:val="24"/>
              </w:rPr>
            </w:pPr>
            <w:r>
              <w:rPr>
                <w:rFonts w:hint="eastAsia" w:ascii="Times New Roman" w:hAnsi="Times New Roman" w:eastAsia="宋体"/>
              </w:rPr>
              <w:t>计算可得，</w:t>
            </w:r>
            <w:r>
              <w:rPr>
                <w:rFonts w:ascii="Times New Roman" w:hAnsi="Times New Roman" w:eastAsia="宋体"/>
              </w:rPr>
              <w:t>在</w:t>
            </w:r>
            <w:r>
              <w:rPr>
                <w:rFonts w:hint="eastAsia" w:ascii="Times New Roman" w:hAnsi="Times New Roman" w:eastAsia="宋体"/>
              </w:rPr>
              <w:t>枯</w:t>
            </w:r>
            <w:r>
              <w:rPr>
                <w:rFonts w:ascii="Times New Roman" w:hAnsi="Times New Roman" w:eastAsia="宋体"/>
              </w:rPr>
              <w:t>水期流量下</w:t>
            </w:r>
            <w:r>
              <w:rPr>
                <w:rFonts w:hint="eastAsia" w:ascii="Times New Roman" w:hAnsi="Times New Roman" w:eastAsia="宋体"/>
              </w:rPr>
              <w:t>COD</w:t>
            </w:r>
            <w:r>
              <w:rPr>
                <w:rFonts w:ascii="Times New Roman" w:hAnsi="Times New Roman" w:eastAsia="宋体"/>
              </w:rPr>
              <w:t>混合过程段长度</w:t>
            </w:r>
            <w:r>
              <w:rPr>
                <w:rFonts w:hint="eastAsia" w:ascii="Times New Roman" w:hAnsi="Times New Roman" w:eastAsia="宋体"/>
              </w:rPr>
              <w:t>约</w:t>
            </w:r>
            <w:r>
              <w:rPr>
                <w:rFonts w:hint="eastAsia" w:ascii="Times New Roman" w:hAnsi="Times New Roman" w:eastAsia="宋体" w:cs="Times New Roman"/>
                <w:szCs w:val="24"/>
              </w:rPr>
              <w:t>557.55m。</w:t>
            </w:r>
          </w:p>
          <w:p>
            <w:pPr>
              <w:spacing w:line="360" w:lineRule="auto"/>
              <w:ind w:firstLine="504" w:firstLineChars="200"/>
              <w:rPr>
                <w:rFonts w:ascii="Times New Roman" w:hAnsi="Times New Roman" w:eastAsia="宋体"/>
                <w:spacing w:val="6"/>
                <w:szCs w:val="24"/>
              </w:rPr>
            </w:pPr>
            <w:r>
              <w:rPr>
                <w:rFonts w:hint="eastAsia" w:ascii="Times New Roman" w:hAnsi="Times New Roman" w:eastAsia="宋体"/>
                <w:spacing w:val="6"/>
                <w:szCs w:val="24"/>
              </w:rPr>
              <w:t>2）污染物混合浓度</w:t>
            </w:r>
          </w:p>
          <w:p>
            <w:pPr>
              <w:spacing w:line="360" w:lineRule="auto"/>
              <w:ind w:firstLine="504" w:firstLineChars="200"/>
              <w:rPr>
                <w:rFonts w:ascii="Times New Roman" w:hAnsi="Times New Roman" w:eastAsia="宋体"/>
                <w:spacing w:val="6"/>
                <w:szCs w:val="24"/>
              </w:rPr>
            </w:pPr>
            <w:r>
              <w:rPr>
                <w:rFonts w:hint="eastAsia" w:ascii="Times New Roman" w:hAnsi="Times New Roman" w:eastAsia="宋体"/>
                <w:spacing w:val="6"/>
                <w:szCs w:val="24"/>
              </w:rPr>
              <w:t>项目预测采用纵向一维数学模型，连续稳定排放。根据河流纵向一维水质模型方程的简化、分类判别条件，选择相应的解析解方程：</w:t>
            </w:r>
          </w:p>
          <w:p>
            <w:pPr>
              <w:pStyle w:val="2"/>
            </w:pPr>
            <w:r>
              <w:drawing>
                <wp:anchor distT="0" distB="0" distL="114300" distR="114300" simplePos="0" relativeHeight="251658240" behindDoc="0" locked="0" layoutInCell="1" allowOverlap="1">
                  <wp:simplePos x="0" y="0"/>
                  <wp:positionH relativeFrom="column">
                    <wp:posOffset>1981200</wp:posOffset>
                  </wp:positionH>
                  <wp:positionV relativeFrom="paragraph">
                    <wp:posOffset>72390</wp:posOffset>
                  </wp:positionV>
                  <wp:extent cx="1544320" cy="70866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44320" cy="708660"/>
                          </a:xfrm>
                          <a:prstGeom prst="rect">
                            <a:avLst/>
                          </a:prstGeom>
                          <a:noFill/>
                        </pic:spPr>
                      </pic:pic>
                    </a:graphicData>
                  </a:graphic>
                </wp:anchor>
              </w:drawing>
            </w:r>
          </w:p>
          <w:p>
            <w:pPr>
              <w:pStyle w:val="2"/>
              <w:spacing w:after="280"/>
            </w:pPr>
          </w:p>
          <w:p>
            <w:pPr>
              <w:spacing w:line="360" w:lineRule="auto"/>
              <w:ind w:firstLine="720" w:firstLineChars="300"/>
              <w:rPr>
                <w:rFonts w:ascii="Times New Roman" w:hAnsi="Times New Roman" w:eastAsia="宋体"/>
              </w:rPr>
            </w:pPr>
            <w:r>
              <w:rPr>
                <w:rFonts w:hint="eastAsia" w:ascii="Times New Roman" w:hAnsi="Times New Roman" w:eastAsia="宋体"/>
              </w:rPr>
              <w:t>式中：</w:t>
            </w:r>
            <w:r>
              <w:rPr>
                <w:rFonts w:hint="eastAsia" w:ascii="Times New Roman" w:hAnsi="Times New Roman" w:eastAsia="宋体" w:cs="宋体"/>
              </w:rPr>
              <w:t>a</w:t>
            </w:r>
            <w:r>
              <w:rPr>
                <w:rFonts w:ascii="Times New Roman" w:hAnsi="Times New Roman" w:eastAsia="宋体"/>
              </w:rPr>
              <w:t>——</w:t>
            </w:r>
            <w:r>
              <w:rPr>
                <w:rFonts w:hint="eastAsia" w:ascii="Times New Roman" w:hAnsi="Times New Roman" w:eastAsia="宋体"/>
              </w:rPr>
              <w:t>O</w:t>
            </w:r>
            <w:r>
              <w:rPr>
                <w:rFonts w:ascii="Times New Roman" w:hAnsi="Times New Roman" w:eastAsia="宋体"/>
              </w:rPr>
              <w:t>’</w:t>
            </w:r>
            <w:r>
              <w:rPr>
                <w:rFonts w:hint="eastAsia" w:ascii="Times New Roman" w:hAnsi="Times New Roman" w:eastAsia="宋体"/>
              </w:rPr>
              <w:t>Connor数，量纲为1，表征物质离散降解通量与移流通量比值；</w:t>
            </w:r>
          </w:p>
          <w:p>
            <w:pPr>
              <w:pStyle w:val="21"/>
              <w:ind w:firstLine="1200" w:firstLineChars="500"/>
              <w:rPr>
                <w:rFonts w:ascii="Times New Roman" w:hAnsi="Times New Roman" w:eastAsia="宋体"/>
              </w:rPr>
            </w:pPr>
            <w:r>
              <w:rPr>
                <w:rFonts w:hint="eastAsia" w:ascii="Times New Roman" w:hAnsi="Times New Roman" w:eastAsia="宋体" w:cs="宋体"/>
              </w:rPr>
              <w:t>Pe</w:t>
            </w:r>
            <w:r>
              <w:rPr>
                <w:rFonts w:ascii="Times New Roman" w:hAnsi="Times New Roman" w:eastAsia="宋体"/>
              </w:rPr>
              <w:t>——</w:t>
            </w:r>
            <w:r>
              <w:rPr>
                <w:rFonts w:hint="eastAsia" w:ascii="Times New Roman" w:hAnsi="Times New Roman" w:eastAsia="宋体"/>
              </w:rPr>
              <w:t>贝克莱数，量纲为1，表征物质移流量与离散量比值；</w:t>
            </w:r>
          </w:p>
          <w:p>
            <w:pPr>
              <w:spacing w:line="360" w:lineRule="auto"/>
              <w:ind w:firstLine="1200" w:firstLineChars="500"/>
              <w:rPr>
                <w:rFonts w:ascii="Times New Roman" w:hAnsi="Times New Roman" w:eastAsia="宋体"/>
                <w:spacing w:val="6"/>
                <w:szCs w:val="24"/>
              </w:rPr>
            </w:pPr>
            <w:r>
              <w:rPr>
                <w:rFonts w:ascii="Times New Roman" w:hAnsi="Times New Roman" w:eastAsia="宋体"/>
              </w:rPr>
              <w:t>K</w:t>
            </w:r>
            <w:r>
              <w:rPr>
                <w:rFonts w:ascii="Times New Roman" w:hAnsi="Times New Roman" w:eastAsia="宋体"/>
                <w:vertAlign w:val="subscript"/>
              </w:rPr>
              <w:t>1</w:t>
            </w:r>
            <w:r>
              <w:rPr>
                <w:rFonts w:ascii="Times New Roman" w:hAnsi="Times New Roman" w:eastAsia="宋体"/>
              </w:rPr>
              <w:t>——</w:t>
            </w:r>
            <w:r>
              <w:rPr>
                <w:rFonts w:hint="eastAsia" w:ascii="Times New Roman" w:hAnsi="Times New Roman" w:eastAsia="宋体"/>
                <w:spacing w:val="6"/>
                <w:szCs w:val="24"/>
              </w:rPr>
              <w:t>污染物综合衰减系数</w:t>
            </w:r>
            <w:r>
              <w:rPr>
                <w:rFonts w:hint="eastAsia" w:ascii="Times New Roman" w:hAnsi="Times New Roman" w:eastAsia="宋体"/>
              </w:rPr>
              <w:t>，</w:t>
            </w:r>
            <w:r>
              <w:rPr>
                <w:rFonts w:ascii="Times New Roman" w:hAnsi="Times New Roman" w:eastAsia="宋体"/>
              </w:rPr>
              <w:t>1/d</w:t>
            </w:r>
            <w:r>
              <w:rPr>
                <w:rFonts w:hint="eastAsia" w:ascii="Times New Roman" w:hAnsi="Times New Roman" w:eastAsia="宋体"/>
              </w:rPr>
              <w:t>；</w:t>
            </w:r>
          </w:p>
          <w:p>
            <w:pPr>
              <w:spacing w:line="360" w:lineRule="auto"/>
              <w:ind w:firstLine="1200" w:firstLineChars="500"/>
              <w:rPr>
                <w:rFonts w:ascii="Times New Roman" w:hAnsi="Times New Roman" w:eastAsia="宋体"/>
              </w:rPr>
            </w:pPr>
            <w:r>
              <w:rPr>
                <w:rFonts w:hint="eastAsia" w:ascii="Times New Roman" w:hAnsi="Times New Roman" w:eastAsia="宋体"/>
              </w:rPr>
              <w:t>Ex</w:t>
            </w:r>
            <w:r>
              <w:rPr>
                <w:rFonts w:ascii="Times New Roman" w:hAnsi="Times New Roman" w:eastAsia="宋体"/>
              </w:rPr>
              <w:t>——</w:t>
            </w:r>
            <w:r>
              <w:rPr>
                <w:rFonts w:hint="eastAsia" w:ascii="Times New Roman" w:hAnsi="Times New Roman" w:eastAsia="宋体"/>
              </w:rPr>
              <w:t>污染物纵向扩散系数，m</w:t>
            </w:r>
            <w:r>
              <w:rPr>
                <w:rFonts w:hint="eastAsia" w:ascii="Times New Roman" w:hAnsi="Times New Roman" w:eastAsia="宋体"/>
                <w:vertAlign w:val="superscript"/>
              </w:rPr>
              <w:t>2</w:t>
            </w:r>
            <w:r>
              <w:rPr>
                <w:rFonts w:hint="eastAsia" w:ascii="Times New Roman" w:hAnsi="Times New Roman" w:eastAsia="宋体"/>
              </w:rPr>
              <w:t>/s；</w:t>
            </w:r>
          </w:p>
          <w:p>
            <w:pPr>
              <w:spacing w:line="360" w:lineRule="auto"/>
              <w:ind w:firstLine="1200" w:firstLineChars="500"/>
              <w:rPr>
                <w:rFonts w:ascii="Times New Roman" w:hAnsi="Times New Roman" w:eastAsia="宋体"/>
              </w:rPr>
            </w:pPr>
            <w:r>
              <w:rPr>
                <w:rFonts w:hint="eastAsia" w:ascii="Times New Roman" w:hAnsi="Times New Roman" w:eastAsia="宋体"/>
              </w:rPr>
              <w:t>u</w:t>
            </w:r>
            <w:r>
              <w:rPr>
                <w:rFonts w:ascii="Times New Roman" w:hAnsi="Times New Roman" w:eastAsia="宋体"/>
              </w:rPr>
              <w:t>——</w:t>
            </w:r>
            <w:r>
              <w:rPr>
                <w:rFonts w:hint="eastAsia" w:ascii="Times New Roman" w:hAnsi="Times New Roman" w:eastAsia="宋体"/>
              </w:rPr>
              <w:t>断面流速，m/s；</w:t>
            </w:r>
          </w:p>
          <w:p>
            <w:pPr>
              <w:spacing w:line="360" w:lineRule="auto"/>
              <w:ind w:firstLine="1200" w:firstLineChars="500"/>
              <w:rPr>
                <w:rFonts w:ascii="Times New Roman" w:hAnsi="Times New Roman" w:eastAsia="宋体"/>
              </w:rPr>
            </w:pPr>
            <w:r>
              <w:rPr>
                <w:rFonts w:hint="eastAsia" w:ascii="Times New Roman" w:hAnsi="Times New Roman" w:eastAsia="宋体"/>
              </w:rPr>
              <w:t>B</w:t>
            </w:r>
            <w:r>
              <w:rPr>
                <w:rFonts w:ascii="Times New Roman" w:hAnsi="Times New Roman" w:eastAsia="宋体"/>
              </w:rPr>
              <w:t>——</w:t>
            </w:r>
            <w:r>
              <w:rPr>
                <w:rFonts w:hint="eastAsia" w:ascii="Times New Roman" w:hAnsi="Times New Roman" w:eastAsia="宋体"/>
              </w:rPr>
              <w:t>水面宽度，m；</w:t>
            </w:r>
          </w:p>
          <w:p>
            <w:pPr>
              <w:pStyle w:val="2"/>
              <w:spacing w:after="0"/>
              <w:ind w:firstLine="480" w:firstLineChars="200"/>
              <w:rPr>
                <w:rFonts w:ascii="Times New Roman" w:hAnsi="Times New Roman" w:eastAsia="宋体" w:cs="宋体"/>
              </w:rPr>
            </w:pPr>
            <w:r>
              <w:rPr>
                <w:rFonts w:hint="eastAsia" w:ascii="Times New Roman" w:hAnsi="Times New Roman" w:eastAsia="宋体" w:cs="宋体"/>
              </w:rPr>
              <w:t>计算可得，污染因子为COD：a＝0.00145，Pe＝0.144；</w:t>
            </w:r>
          </w:p>
          <w:p>
            <w:pPr>
              <w:pStyle w:val="2"/>
              <w:spacing w:after="0"/>
              <w:ind w:firstLine="480" w:firstLineChars="200"/>
              <w:rPr>
                <w:rFonts w:ascii="Times New Roman" w:hAnsi="Times New Roman" w:eastAsia="宋体" w:cs="宋体"/>
              </w:rPr>
            </w:pPr>
            <w:r>
              <w:rPr>
                <w:rFonts w:hint="eastAsia" w:ascii="Times New Roman" w:hAnsi="Times New Roman" w:eastAsia="宋体" w:cs="宋体"/>
              </w:rPr>
              <w:t xml:space="preserve">          当污染因子为氨氮：a＝0.000963，Pe＝0.144；</w:t>
            </w:r>
          </w:p>
          <w:p>
            <w:pPr>
              <w:pStyle w:val="32"/>
              <w:ind w:firstLine="504"/>
              <w:rPr>
                <w:b/>
                <w:bCs/>
              </w:rPr>
            </w:pPr>
            <w:r>
              <w:rPr>
                <w:rFonts w:hint="eastAsia"/>
                <w:spacing w:val="6"/>
                <w:szCs w:val="24"/>
              </w:rPr>
              <w:t>当</w:t>
            </w:r>
            <w:r>
              <w:rPr>
                <w:rFonts w:hint="eastAsia"/>
              </w:rPr>
              <w:t>a≤0.027、Pe＜1时，适用</w:t>
            </w:r>
            <w:r>
              <w:rPr>
                <w:rFonts w:hint="eastAsia"/>
                <w:b/>
                <w:bCs/>
              </w:rPr>
              <w:t>对流扩散降解简化模型:</w:t>
            </w:r>
          </w:p>
          <w:p>
            <w:pPr>
              <w:pStyle w:val="32"/>
              <w:ind w:firstLine="480"/>
              <w:rPr>
                <w:lang w:bidi="ar"/>
              </w:rPr>
            </w:pPr>
            <w:r>
              <w:rPr>
                <w:lang w:bidi="ar"/>
              </w:rPr>
              <w:drawing>
                <wp:anchor distT="0" distB="0" distL="114300" distR="114300" simplePos="0" relativeHeight="251694080" behindDoc="0" locked="0" layoutInCell="1" allowOverlap="1">
                  <wp:simplePos x="0" y="0"/>
                  <wp:positionH relativeFrom="column">
                    <wp:posOffset>1790700</wp:posOffset>
                  </wp:positionH>
                  <wp:positionV relativeFrom="paragraph">
                    <wp:posOffset>118110</wp:posOffset>
                  </wp:positionV>
                  <wp:extent cx="2275205" cy="1181100"/>
                  <wp:effectExtent l="0" t="0" r="0" b="63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75200" cy="1180800"/>
                          </a:xfrm>
                          <a:prstGeom prst="rect">
                            <a:avLst/>
                          </a:prstGeom>
                          <a:noFill/>
                        </pic:spPr>
                      </pic:pic>
                    </a:graphicData>
                  </a:graphic>
                </wp:anchor>
              </w:drawing>
            </w:r>
          </w:p>
          <w:p>
            <w:pPr>
              <w:pStyle w:val="32"/>
              <w:ind w:firstLine="480"/>
              <w:rPr>
                <w:lang w:bidi="ar"/>
              </w:rPr>
            </w:pPr>
          </w:p>
          <w:p>
            <w:pPr>
              <w:widowControl/>
              <w:ind w:firstLine="480" w:firstLineChars="200"/>
              <w:jc w:val="left"/>
              <w:rPr>
                <w:rFonts w:ascii="宋体" w:hAnsi="宋体" w:eastAsia="宋体" w:cs="宋体"/>
                <w:color w:val="000000"/>
                <w:kern w:val="0"/>
                <w:szCs w:val="24"/>
                <w:lang w:bidi="ar"/>
              </w:rPr>
            </w:pPr>
          </w:p>
          <w:p>
            <w:pPr>
              <w:widowControl/>
              <w:ind w:firstLine="480" w:firstLineChars="200"/>
              <w:jc w:val="left"/>
            </w:pP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式中：C</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污染物浓度，mg/L；</w:t>
            </w:r>
          </w:p>
          <w:p>
            <w:pPr>
              <w:widowControl/>
              <w:ind w:firstLine="1200" w:firstLineChars="5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Cp</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污染物排放浓度，mg/L；</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 xml:space="preserve">   </w:t>
            </w:r>
            <w:r>
              <w:rPr>
                <w:rFonts w:ascii="Times New Roman" w:hAnsi="Times New Roman" w:eastAsia="宋体" w:cs="Times New Roman"/>
                <w:color w:val="000000"/>
                <w:kern w:val="0"/>
                <w:szCs w:val="24"/>
                <w:lang w:bidi="ar"/>
              </w:rPr>
              <w:t xml:space="preserve">  </w:t>
            </w:r>
            <w:r>
              <w:rPr>
                <w:rFonts w:hint="eastAsia" w:ascii="Times New Roman" w:hAnsi="Times New Roman" w:eastAsia="宋体" w:cs="Times New Roman"/>
                <w:color w:val="000000"/>
                <w:kern w:val="0"/>
                <w:szCs w:val="24"/>
                <w:lang w:bidi="ar"/>
              </w:rPr>
              <w:t xml:space="preserve"> Qp</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污水排放量，m</w:t>
            </w:r>
            <w:r>
              <w:rPr>
                <w:rFonts w:hint="eastAsia" w:ascii="Times New Roman" w:hAnsi="Times New Roman" w:eastAsia="宋体" w:cs="Times New Roman"/>
                <w:color w:val="000000"/>
                <w:kern w:val="0"/>
                <w:szCs w:val="24"/>
                <w:vertAlign w:val="superscript"/>
                <w:lang w:bidi="ar"/>
              </w:rPr>
              <w:t>3</w:t>
            </w:r>
            <w:r>
              <w:rPr>
                <w:rFonts w:hint="eastAsia" w:ascii="Times New Roman" w:hAnsi="Times New Roman" w:eastAsia="宋体" w:cs="Times New Roman"/>
                <w:color w:val="000000"/>
                <w:kern w:val="0"/>
                <w:szCs w:val="24"/>
                <w:lang w:bidi="ar"/>
              </w:rPr>
              <w:t>/s；</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 xml:space="preserve">      Ch</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河流上游污染物浓度，mg/L；</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 xml:space="preserve">      Qh</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河流流量，m</w:t>
            </w:r>
            <w:r>
              <w:rPr>
                <w:rFonts w:hint="eastAsia" w:ascii="Times New Roman" w:hAnsi="Times New Roman" w:eastAsia="宋体" w:cs="Times New Roman"/>
                <w:color w:val="000000"/>
                <w:kern w:val="0"/>
                <w:szCs w:val="24"/>
                <w:vertAlign w:val="superscript"/>
                <w:lang w:bidi="ar"/>
              </w:rPr>
              <w:t>3</w:t>
            </w:r>
            <w:r>
              <w:rPr>
                <w:rFonts w:hint="eastAsia" w:ascii="Times New Roman" w:hAnsi="Times New Roman" w:eastAsia="宋体" w:cs="Times New Roman"/>
                <w:color w:val="000000"/>
                <w:kern w:val="0"/>
                <w:szCs w:val="24"/>
                <w:lang w:bidi="ar"/>
              </w:rPr>
              <w:t>/s。</w:t>
            </w:r>
          </w:p>
          <w:p>
            <w:pPr>
              <w:widowControl/>
              <w:ind w:firstLine="1200" w:firstLineChars="5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C</w:t>
            </w:r>
            <w:r>
              <w:rPr>
                <w:rFonts w:hint="eastAsia" w:ascii="Times New Roman" w:hAnsi="Times New Roman" w:eastAsia="宋体" w:cs="Times New Roman"/>
                <w:color w:val="000000"/>
                <w:kern w:val="0"/>
                <w:szCs w:val="24"/>
                <w:lang w:bidi="ar"/>
              </w:rPr>
              <w:t>0</w:t>
            </w:r>
            <w:r>
              <w:rPr>
                <w:rFonts w:ascii="Times New Roman" w:hAnsi="Times New Roman" w:eastAsia="宋体" w:cs="Times New Roman"/>
                <w:color w:val="000000"/>
                <w:kern w:val="0"/>
                <w:szCs w:val="24"/>
                <w:lang w:bidi="ar"/>
              </w:rPr>
              <w:t>——河流排放口初始断面混合浓度，mgL；</w:t>
            </w:r>
          </w:p>
          <w:p>
            <w:pPr>
              <w:widowControl/>
              <w:ind w:firstLine="1200" w:firstLineChars="5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x</w:t>
            </w:r>
            <w:r>
              <w:rPr>
                <w:rFonts w:ascii="Times New Roman" w:hAnsi="Times New Roman" w:eastAsia="宋体" w:cs="Times New Roman"/>
                <w:color w:val="000000"/>
                <w:kern w:val="0"/>
                <w:szCs w:val="24"/>
                <w:lang w:bidi="ar"/>
              </w:rPr>
              <w:t>——河流沿程坐标，m</w:t>
            </w:r>
            <w:r>
              <w:rPr>
                <w:rFonts w:hint="eastAsia" w:ascii="Times New Roman" w:hAnsi="Times New Roman" w:eastAsia="宋体" w:cs="Times New Roman"/>
                <w:color w:val="000000"/>
                <w:kern w:val="0"/>
                <w:szCs w:val="24"/>
                <w:lang w:bidi="ar"/>
              </w:rPr>
              <w:t>；</w:t>
            </w:r>
          </w:p>
          <w:p>
            <w:pPr>
              <w:widowControl/>
              <w:ind w:firstLine="1200" w:firstLineChars="5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x=0指排放口处，x&gt;0指排放口下游段，x&lt;0指排放口上游段；</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fldChar w:fldCharType="begin"/>
            </w:r>
            <w:r>
              <w:rPr>
                <w:rFonts w:hint="eastAsia" w:ascii="Times New Roman" w:hAnsi="Times New Roman" w:eastAsia="宋体" w:cs="Times New Roman"/>
                <w:color w:val="000000"/>
                <w:kern w:val="0"/>
                <w:szCs w:val="24"/>
                <w:lang w:bidi="ar"/>
              </w:rPr>
              <w:instrText xml:space="preserve"> = 8 \* GB3 \* MERGEFORMAT </w:instrText>
            </w:r>
            <w:r>
              <w:rPr>
                <w:rFonts w:hint="eastAsia" w:ascii="Times New Roman" w:hAnsi="Times New Roman" w:eastAsia="宋体" w:cs="Times New Roman"/>
                <w:color w:val="000000"/>
                <w:kern w:val="0"/>
                <w:szCs w:val="24"/>
                <w:lang w:bidi="ar"/>
              </w:rPr>
              <w:fldChar w:fldCharType="separate"/>
            </w:r>
            <w:r>
              <w:rPr>
                <w:rFonts w:hint="eastAsia" w:ascii="Times New Roman" w:hAnsi="Times New Roman" w:eastAsia="宋体" w:cs="Times New Roman"/>
                <w:color w:val="000000"/>
                <w:kern w:val="0"/>
                <w:szCs w:val="24"/>
                <w:lang w:bidi="ar"/>
              </w:rPr>
              <w:t>⑧</w:t>
            </w:r>
            <w:r>
              <w:rPr>
                <w:rFonts w:hint="eastAsia" w:ascii="Times New Roman" w:hAnsi="Times New Roman" w:eastAsia="宋体" w:cs="Times New Roman"/>
                <w:color w:val="000000"/>
                <w:kern w:val="0"/>
                <w:szCs w:val="24"/>
                <w:lang w:bidi="ar"/>
              </w:rPr>
              <w:fldChar w:fldCharType="end"/>
            </w:r>
            <w:r>
              <w:rPr>
                <w:rFonts w:hint="eastAsia" w:ascii="Times New Roman" w:hAnsi="Times New Roman" w:eastAsia="宋体" w:cs="Times New Roman"/>
                <w:color w:val="000000"/>
                <w:kern w:val="0"/>
                <w:szCs w:val="24"/>
                <w:lang w:bidi="ar"/>
              </w:rPr>
              <w:t>预测结果</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分别预测废水正常排放和非正常排放情况，预测本项目排放的废水对北港河水质的影响，预测结果如下：</w:t>
            </w:r>
          </w:p>
          <w:p>
            <w:pPr>
              <w:spacing w:line="360" w:lineRule="auto"/>
              <w:ind w:firstLine="528"/>
              <w:jc w:val="center"/>
              <w:rPr>
                <w:rFonts w:ascii="Times New Roman" w:hAnsi="Times New Roman"/>
                <w:b/>
                <w:bCs/>
                <w:spacing w:val="6"/>
              </w:rPr>
            </w:pPr>
            <w:r>
              <w:rPr>
                <w:rFonts w:hint="eastAsia" w:ascii="Times New Roman" w:hAnsi="Times New Roman"/>
                <w:b/>
                <w:bCs/>
                <w:spacing w:val="6"/>
              </w:rPr>
              <w:t>表7-1</w:t>
            </w:r>
            <w:r>
              <w:rPr>
                <w:rFonts w:ascii="Times New Roman" w:hAnsi="Times New Roman"/>
                <w:b/>
                <w:bCs/>
                <w:spacing w:val="6"/>
              </w:rPr>
              <w:t xml:space="preserve">1  </w:t>
            </w:r>
            <w:r>
              <w:rPr>
                <w:rFonts w:hint="eastAsia" w:ascii="Times New Roman" w:hAnsi="Times New Roman"/>
                <w:b/>
                <w:bCs/>
                <w:spacing w:val="6"/>
              </w:rPr>
              <w:t xml:space="preserve"> 废水排放预测结果</w:t>
            </w:r>
          </w:p>
          <w:tbl>
            <w:tblPr>
              <w:tblStyle w:val="24"/>
              <w:tblW w:w="924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925"/>
              <w:gridCol w:w="1848"/>
              <w:gridCol w:w="1848"/>
              <w:gridCol w:w="1848"/>
              <w:gridCol w:w="18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8" w:type="dxa"/>
                  <w:gridSpan w:val="2"/>
                  <w:tcBorders>
                    <w:top w:val="single" w:color="auto" w:sz="12" w:space="0"/>
                    <w:bottom w:val="single" w:color="auto" w:sz="12" w:space="0"/>
                  </w:tcBorders>
                </w:tcPr>
                <w:p>
                  <w:pPr>
                    <w:spacing w:line="240" w:lineRule="auto"/>
                    <w:jc w:val="center"/>
                    <w:rPr>
                      <w:rFonts w:ascii="Times New Roman" w:hAnsi="Times New Roman"/>
                      <w:b/>
                      <w:bCs/>
                      <w:spacing w:val="6"/>
                      <w:sz w:val="21"/>
                      <w:szCs w:val="21"/>
                    </w:rPr>
                  </w:pPr>
                  <w:r>
                    <w:rPr>
                      <w:rFonts w:hint="eastAsia" w:ascii="Times New Roman" w:hAnsi="Times New Roman"/>
                      <w:b/>
                      <w:bCs/>
                      <w:spacing w:val="6"/>
                      <w:sz w:val="21"/>
                      <w:szCs w:val="21"/>
                    </w:rPr>
                    <w:t>情况分类</w:t>
                  </w:r>
                </w:p>
              </w:tc>
              <w:tc>
                <w:tcPr>
                  <w:tcW w:w="3696" w:type="dxa"/>
                  <w:gridSpan w:val="2"/>
                  <w:tcBorders>
                    <w:top w:val="single" w:color="auto" w:sz="12" w:space="0"/>
                    <w:bottom w:val="single" w:color="auto" w:sz="12" w:space="0"/>
                  </w:tcBorders>
                </w:tcPr>
                <w:p>
                  <w:pPr>
                    <w:spacing w:line="240" w:lineRule="auto"/>
                    <w:jc w:val="center"/>
                    <w:rPr>
                      <w:rFonts w:ascii="Times New Roman" w:hAnsi="Times New Roman"/>
                      <w:b/>
                      <w:bCs/>
                      <w:spacing w:val="6"/>
                      <w:sz w:val="21"/>
                      <w:szCs w:val="21"/>
                    </w:rPr>
                  </w:pPr>
                  <w:r>
                    <w:rPr>
                      <w:rFonts w:hint="eastAsia" w:ascii="Times New Roman" w:hAnsi="Times New Roman"/>
                      <w:b/>
                      <w:bCs/>
                      <w:spacing w:val="6"/>
                      <w:sz w:val="21"/>
                      <w:szCs w:val="21"/>
                    </w:rPr>
                    <w:t>正常排放 C(浓度，mg/L)</w:t>
                  </w:r>
                </w:p>
              </w:tc>
              <w:tc>
                <w:tcPr>
                  <w:tcW w:w="3697" w:type="dxa"/>
                  <w:gridSpan w:val="2"/>
                  <w:tcBorders>
                    <w:top w:val="single" w:color="auto" w:sz="12" w:space="0"/>
                    <w:bottom w:val="single" w:color="auto" w:sz="12" w:space="0"/>
                  </w:tcBorders>
                </w:tcPr>
                <w:p>
                  <w:pPr>
                    <w:spacing w:line="240" w:lineRule="auto"/>
                    <w:jc w:val="center"/>
                    <w:rPr>
                      <w:rFonts w:ascii="Times New Roman" w:hAnsi="Times New Roman"/>
                      <w:b/>
                      <w:bCs/>
                      <w:spacing w:val="6"/>
                      <w:sz w:val="21"/>
                      <w:szCs w:val="21"/>
                    </w:rPr>
                  </w:pPr>
                  <w:r>
                    <w:rPr>
                      <w:rFonts w:hint="eastAsia" w:ascii="Times New Roman" w:hAnsi="Times New Roman"/>
                      <w:b/>
                      <w:bCs/>
                      <w:spacing w:val="6"/>
                      <w:sz w:val="21"/>
                      <w:szCs w:val="21"/>
                    </w:rPr>
                    <w:t>非正常排放C(浓度，mg/L)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8" w:type="dxa"/>
                  <w:gridSpan w:val="2"/>
                  <w:tcBorders>
                    <w:top w:val="single" w:color="auto" w:sz="12" w:space="0"/>
                  </w:tcBorders>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x取值（m）</w:t>
                  </w:r>
                </w:p>
              </w:tc>
              <w:tc>
                <w:tcPr>
                  <w:tcW w:w="1848" w:type="dxa"/>
                  <w:tcBorders>
                    <w:top w:val="single" w:color="auto" w:sz="12" w:space="0"/>
                  </w:tcBorders>
                </w:tcPr>
                <w:p>
                  <w:pPr>
                    <w:spacing w:line="240" w:lineRule="auto"/>
                    <w:jc w:val="center"/>
                    <w:rPr>
                      <w:rFonts w:ascii="Times New Roman" w:hAnsi="Times New Roman"/>
                      <w:spacing w:val="6"/>
                      <w:sz w:val="21"/>
                      <w:szCs w:val="21"/>
                    </w:rPr>
                  </w:pPr>
                  <w:r>
                    <w:rPr>
                      <w:rFonts w:hint="eastAsia" w:ascii="Times New Roman" w:hAnsi="Times New Roman"/>
                      <w:sz w:val="21"/>
                      <w:szCs w:val="21"/>
                    </w:rPr>
                    <w:t>COD</w:t>
                  </w:r>
                </w:p>
              </w:tc>
              <w:tc>
                <w:tcPr>
                  <w:tcW w:w="1848" w:type="dxa"/>
                  <w:tcBorders>
                    <w:top w:val="single" w:color="auto" w:sz="12" w:space="0"/>
                  </w:tcBorders>
                </w:tcPr>
                <w:p>
                  <w:pPr>
                    <w:spacing w:line="240" w:lineRule="auto"/>
                    <w:jc w:val="center"/>
                    <w:rPr>
                      <w:rFonts w:ascii="Times New Roman" w:hAnsi="Times New Roman"/>
                      <w:spacing w:val="6"/>
                      <w:sz w:val="21"/>
                      <w:szCs w:val="21"/>
                    </w:rPr>
                  </w:pP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p>
              </w:tc>
              <w:tc>
                <w:tcPr>
                  <w:tcW w:w="1848" w:type="dxa"/>
                  <w:tcBorders>
                    <w:top w:val="single" w:color="auto" w:sz="12" w:space="0"/>
                  </w:tcBorders>
                </w:tcPr>
                <w:p>
                  <w:pPr>
                    <w:spacing w:line="240" w:lineRule="auto"/>
                    <w:jc w:val="center"/>
                    <w:rPr>
                      <w:rFonts w:ascii="Times New Roman" w:hAnsi="Times New Roman"/>
                      <w:spacing w:val="6"/>
                      <w:sz w:val="21"/>
                      <w:szCs w:val="21"/>
                    </w:rPr>
                  </w:pPr>
                  <w:r>
                    <w:rPr>
                      <w:rFonts w:hint="eastAsia" w:ascii="Times New Roman" w:hAnsi="Times New Roman"/>
                      <w:sz w:val="21"/>
                      <w:szCs w:val="21"/>
                    </w:rPr>
                    <w:t>COD</w:t>
                  </w:r>
                </w:p>
              </w:tc>
              <w:tc>
                <w:tcPr>
                  <w:tcW w:w="1849" w:type="dxa"/>
                  <w:tcBorders>
                    <w:top w:val="single" w:color="auto" w:sz="12" w:space="0"/>
                  </w:tcBorders>
                </w:tcPr>
                <w:p>
                  <w:pPr>
                    <w:spacing w:line="240" w:lineRule="auto"/>
                    <w:jc w:val="center"/>
                    <w:rPr>
                      <w:rFonts w:ascii="Times New Roman" w:hAnsi="Times New Roman"/>
                      <w:spacing w:val="6"/>
                      <w:sz w:val="21"/>
                      <w:szCs w:val="21"/>
                    </w:rPr>
                  </w:pP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restart"/>
                </w:tcPr>
                <w:p>
                  <w:pPr>
                    <w:spacing w:line="240" w:lineRule="auto"/>
                    <w:jc w:val="center"/>
                    <w:rPr>
                      <w:rFonts w:ascii="Times New Roman" w:hAnsi="Times New Roman"/>
                      <w:spacing w:val="6"/>
                      <w:sz w:val="21"/>
                      <w:szCs w:val="21"/>
                    </w:rPr>
                  </w:pPr>
                  <w:r>
                    <w:rPr>
                      <w:rFonts w:ascii="Times New Roman" w:hAnsi="Times New Roman"/>
                      <w:sz w:val="21"/>
                      <w:szCs w:val="21"/>
                      <w:lang w:val="zh-CN"/>
                    </w:rPr>
                    <w:t>x&lt;0</w:t>
                  </w:r>
                </w:p>
              </w:tc>
              <w:tc>
                <w:tcPr>
                  <w:tcW w:w="925" w:type="dxa"/>
                </w:tcPr>
                <w:p>
                  <w:pPr>
                    <w:spacing w:line="240" w:lineRule="auto"/>
                    <w:jc w:val="center"/>
                    <w:rPr>
                      <w:rFonts w:ascii="Times New Roman" w:hAnsi="Times New Roman"/>
                      <w:sz w:val="21"/>
                      <w:szCs w:val="21"/>
                    </w:rPr>
                  </w:pPr>
                  <w:r>
                    <w:rPr>
                      <w:rFonts w:hint="eastAsia" w:ascii="Times New Roman" w:hAnsi="Times New Roman"/>
                      <w:sz w:val="21"/>
                      <w:szCs w:val="21"/>
                    </w:rPr>
                    <w:t>-20</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17.8027</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2.8</w:t>
                  </w:r>
                  <w:r>
                    <w:rPr>
                      <w:rFonts w:ascii="Times New Roman" w:hAnsi="Times New Roman"/>
                      <w:spacing w:val="6"/>
                      <w:sz w:val="21"/>
                      <w:szCs w:val="21"/>
                      <w:u w:val="single"/>
                    </w:rPr>
                    <w:t>86</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21.4430</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3.2874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-10</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20.0782</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3.2</w:t>
                  </w:r>
                  <w:r>
                    <w:rPr>
                      <w:rFonts w:ascii="Times New Roman" w:hAnsi="Times New Roman"/>
                      <w:spacing w:val="6"/>
                      <w:sz w:val="21"/>
                      <w:szCs w:val="21"/>
                      <w:u w:val="single"/>
                    </w:rPr>
                    <w:t>548</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24.1837</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3.7076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-5</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21.</w:t>
                  </w:r>
                  <w:r>
                    <w:rPr>
                      <w:rFonts w:ascii="Times New Roman" w:hAnsi="Times New Roman"/>
                      <w:spacing w:val="6"/>
                      <w:sz w:val="21"/>
                      <w:szCs w:val="21"/>
                      <w:u w:val="single"/>
                    </w:rPr>
                    <w:t>3227</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3.4</w:t>
                  </w:r>
                  <w:r>
                    <w:rPr>
                      <w:rFonts w:ascii="Times New Roman" w:hAnsi="Times New Roman"/>
                      <w:spacing w:val="6"/>
                      <w:sz w:val="21"/>
                      <w:szCs w:val="21"/>
                      <w:u w:val="single"/>
                    </w:rPr>
                    <w:t>566</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25.6827</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3.9375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-2</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22.1062</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w:t>
                  </w:r>
                  <w:r>
                    <w:rPr>
                      <w:rFonts w:ascii="Times New Roman" w:hAnsi="Times New Roman"/>
                      <w:spacing w:val="6"/>
                      <w:sz w:val="21"/>
                      <w:szCs w:val="21"/>
                      <w:u w:val="single"/>
                    </w:rPr>
                    <w:t>5836</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26.6264</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4.0821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restart"/>
                </w:tcPr>
                <w:p>
                  <w:pPr>
                    <w:spacing w:line="240" w:lineRule="auto"/>
                    <w:jc w:val="center"/>
                    <w:rPr>
                      <w:rFonts w:ascii="Times New Roman" w:hAnsi="Times New Roman"/>
                      <w:spacing w:val="6"/>
                      <w:sz w:val="21"/>
                      <w:szCs w:val="21"/>
                    </w:rPr>
                  </w:pPr>
                  <w:r>
                    <w:rPr>
                      <w:rFonts w:ascii="Times New Roman" w:hAnsi="Times New Roman"/>
                      <w:sz w:val="21"/>
                      <w:szCs w:val="21"/>
                      <w:lang w:val="zh-CN"/>
                    </w:rPr>
                    <w:t>x</w:t>
                  </w:r>
                  <w:r>
                    <w:rPr>
                      <w:rFonts w:hint="eastAsia" w:ascii="Times New Roman" w:hAnsi="Times New Roman"/>
                      <w:sz w:val="21"/>
                      <w:szCs w:val="21"/>
                    </w:rPr>
                    <w:t>≥</w:t>
                  </w:r>
                  <w:r>
                    <w:rPr>
                      <w:rFonts w:ascii="Times New Roman" w:hAnsi="Times New Roman"/>
                      <w:sz w:val="21"/>
                      <w:szCs w:val="21"/>
                      <w:lang w:val="zh-CN"/>
                    </w:rPr>
                    <w:t>0</w:t>
                  </w:r>
                </w:p>
              </w:tc>
              <w:tc>
                <w:tcPr>
                  <w:tcW w:w="925" w:type="dxa"/>
                </w:tcPr>
                <w:p>
                  <w:pPr>
                    <w:spacing w:line="240" w:lineRule="auto"/>
                    <w:jc w:val="center"/>
                    <w:rPr>
                      <w:rFonts w:ascii="Times New Roman" w:hAnsi="Times New Roman"/>
                      <w:b/>
                      <w:bCs/>
                      <w:spacing w:val="6"/>
                      <w:sz w:val="21"/>
                      <w:szCs w:val="21"/>
                    </w:rPr>
                  </w:pPr>
                  <w:r>
                    <w:rPr>
                      <w:rFonts w:hint="eastAsia" w:ascii="Times New Roman" w:hAnsi="Times New Roman"/>
                      <w:b/>
                      <w:bCs/>
                      <w:spacing w:val="6"/>
                      <w:sz w:val="21"/>
                      <w:szCs w:val="21"/>
                    </w:rPr>
                    <w:t>0</w:t>
                  </w:r>
                </w:p>
              </w:tc>
              <w:tc>
                <w:tcPr>
                  <w:tcW w:w="1848" w:type="dxa"/>
                </w:tcPr>
                <w:p>
                  <w:pPr>
                    <w:spacing w:line="240" w:lineRule="auto"/>
                    <w:jc w:val="center"/>
                    <w:rPr>
                      <w:rFonts w:ascii="Times New Roman" w:hAnsi="Times New Roman"/>
                      <w:b/>
                      <w:bCs/>
                      <w:spacing w:val="6"/>
                      <w:sz w:val="21"/>
                      <w:szCs w:val="21"/>
                      <w:u w:val="single"/>
                    </w:rPr>
                  </w:pPr>
                  <w:r>
                    <w:rPr>
                      <w:rFonts w:ascii="Times New Roman" w:hAnsi="Times New Roman"/>
                      <w:b/>
                      <w:bCs/>
                      <w:spacing w:val="6"/>
                      <w:sz w:val="21"/>
                      <w:szCs w:val="21"/>
                      <w:u w:val="single"/>
                    </w:rPr>
                    <w:t>22.644</w:t>
                  </w:r>
                </w:p>
              </w:tc>
              <w:tc>
                <w:tcPr>
                  <w:tcW w:w="1848" w:type="dxa"/>
                </w:tcPr>
                <w:p>
                  <w:pPr>
                    <w:spacing w:line="240" w:lineRule="auto"/>
                    <w:jc w:val="center"/>
                    <w:rPr>
                      <w:rFonts w:ascii="Times New Roman" w:hAnsi="Times New Roman"/>
                      <w:b/>
                      <w:bCs/>
                      <w:spacing w:val="6"/>
                      <w:sz w:val="21"/>
                      <w:szCs w:val="21"/>
                      <w:u w:val="single"/>
                    </w:rPr>
                  </w:pPr>
                  <w:r>
                    <w:rPr>
                      <w:rFonts w:hint="eastAsia" w:ascii="Times New Roman" w:hAnsi="Times New Roman"/>
                      <w:b/>
                      <w:bCs/>
                      <w:spacing w:val="6"/>
                      <w:sz w:val="21"/>
                      <w:szCs w:val="21"/>
                      <w:u w:val="single"/>
                    </w:rPr>
                    <w:t>3.67</w:t>
                  </w:r>
                  <w:r>
                    <w:rPr>
                      <w:rFonts w:ascii="Times New Roman" w:hAnsi="Times New Roman"/>
                      <w:b/>
                      <w:bCs/>
                      <w:spacing w:val="6"/>
                      <w:sz w:val="21"/>
                      <w:szCs w:val="21"/>
                      <w:u w:val="single"/>
                    </w:rPr>
                    <w:t>08</w:t>
                  </w:r>
                </w:p>
              </w:tc>
              <w:tc>
                <w:tcPr>
                  <w:tcW w:w="1848" w:type="dxa"/>
                </w:tcPr>
                <w:p>
                  <w:pPr>
                    <w:spacing w:line="240" w:lineRule="auto"/>
                    <w:jc w:val="center"/>
                    <w:rPr>
                      <w:rFonts w:ascii="Times New Roman" w:hAnsi="Times New Roman"/>
                      <w:b/>
                      <w:bCs/>
                      <w:spacing w:val="6"/>
                      <w:sz w:val="21"/>
                      <w:szCs w:val="21"/>
                      <w:u w:val="single"/>
                    </w:rPr>
                  </w:pPr>
                  <w:r>
                    <w:rPr>
                      <w:rFonts w:hint="eastAsia" w:ascii="Times New Roman" w:hAnsi="Times New Roman" w:cs="宋体"/>
                      <w:b/>
                      <w:bCs/>
                      <w:color w:val="000000"/>
                      <w:kern w:val="0"/>
                      <w:sz w:val="21"/>
                      <w:szCs w:val="21"/>
                      <w:u w:val="single"/>
                      <w:lang w:bidi="ar"/>
                    </w:rPr>
                    <w:t>27.3552</w:t>
                  </w:r>
                </w:p>
              </w:tc>
              <w:tc>
                <w:tcPr>
                  <w:tcW w:w="1849" w:type="dxa"/>
                </w:tcPr>
                <w:p>
                  <w:pPr>
                    <w:spacing w:line="240" w:lineRule="auto"/>
                    <w:jc w:val="center"/>
                    <w:rPr>
                      <w:rFonts w:ascii="Times New Roman" w:hAnsi="Times New Roman"/>
                      <w:b/>
                      <w:bCs/>
                      <w:spacing w:val="6"/>
                      <w:sz w:val="21"/>
                      <w:szCs w:val="21"/>
                      <w:u w:val="single"/>
                    </w:rPr>
                  </w:pPr>
                  <w:r>
                    <w:rPr>
                      <w:rFonts w:hint="eastAsia" w:ascii="Times New Roman" w:hAnsi="Times New Roman" w:cs="宋体"/>
                      <w:b/>
                      <w:bCs/>
                      <w:color w:val="000000"/>
                      <w:kern w:val="0"/>
                      <w:sz w:val="21"/>
                      <w:szCs w:val="21"/>
                      <w:u w:val="single"/>
                      <w:lang w:bidi="ar"/>
                    </w:rPr>
                    <w:t>4.1815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10</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22.6405</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3.67</w:t>
                  </w:r>
                  <w:r>
                    <w:rPr>
                      <w:rFonts w:ascii="Times New Roman" w:hAnsi="Times New Roman"/>
                      <w:spacing w:val="6"/>
                      <w:sz w:val="21"/>
                      <w:szCs w:val="21"/>
                      <w:u w:val="single"/>
                    </w:rPr>
                    <w:t>02</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27.2699</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4.1808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100</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22.6050</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3.6</w:t>
                  </w:r>
                  <w:r>
                    <w:rPr>
                      <w:rFonts w:ascii="Times New Roman" w:hAnsi="Times New Roman"/>
                      <w:spacing w:val="6"/>
                      <w:sz w:val="21"/>
                      <w:szCs w:val="21"/>
                      <w:u w:val="single"/>
                    </w:rPr>
                    <w:t>645</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27.2272</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4.1742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500</w:t>
                  </w:r>
                </w:p>
              </w:tc>
              <w:tc>
                <w:tcPr>
                  <w:tcW w:w="1848" w:type="dxa"/>
                </w:tcPr>
                <w:p>
                  <w:pPr>
                    <w:spacing w:line="240" w:lineRule="auto"/>
                    <w:jc w:val="center"/>
                    <w:rPr>
                      <w:rFonts w:ascii="Times New Roman" w:hAnsi="Times New Roman"/>
                      <w:spacing w:val="6"/>
                      <w:sz w:val="21"/>
                      <w:szCs w:val="21"/>
                      <w:u w:val="single"/>
                    </w:rPr>
                  </w:pPr>
                  <w:r>
                    <w:rPr>
                      <w:rFonts w:ascii="Times New Roman" w:hAnsi="Times New Roman"/>
                      <w:spacing w:val="6"/>
                      <w:sz w:val="21"/>
                      <w:szCs w:val="21"/>
                      <w:u w:val="single"/>
                    </w:rPr>
                    <w:t>22.4481</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3.6</w:t>
                  </w:r>
                  <w:r>
                    <w:rPr>
                      <w:rFonts w:ascii="Times New Roman" w:hAnsi="Times New Roman"/>
                      <w:spacing w:val="6"/>
                      <w:sz w:val="21"/>
                      <w:szCs w:val="21"/>
                      <w:u w:val="single"/>
                    </w:rPr>
                    <w:t>390</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27.0382</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4.1453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3" w:type="dxa"/>
                  <w:vMerge w:val="continue"/>
                </w:tcPr>
                <w:p>
                  <w:pPr>
                    <w:spacing w:line="240" w:lineRule="auto"/>
                    <w:jc w:val="center"/>
                    <w:rPr>
                      <w:rFonts w:ascii="Times New Roman" w:hAnsi="Times New Roman"/>
                      <w:spacing w:val="6"/>
                      <w:sz w:val="21"/>
                      <w:szCs w:val="21"/>
                    </w:rPr>
                  </w:pPr>
                </w:p>
              </w:tc>
              <w:tc>
                <w:tcPr>
                  <w:tcW w:w="925" w:type="dxa"/>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1000</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22.</w:t>
                  </w:r>
                  <w:r>
                    <w:rPr>
                      <w:rFonts w:ascii="Times New Roman" w:hAnsi="Times New Roman"/>
                      <w:spacing w:val="6"/>
                      <w:sz w:val="21"/>
                      <w:szCs w:val="21"/>
                      <w:u w:val="single"/>
                    </w:rPr>
                    <w:t>235</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spacing w:val="6"/>
                      <w:sz w:val="21"/>
                      <w:szCs w:val="21"/>
                      <w:u w:val="single"/>
                    </w:rPr>
                    <w:t>3.6</w:t>
                  </w:r>
                  <w:r>
                    <w:rPr>
                      <w:rFonts w:ascii="Times New Roman" w:hAnsi="Times New Roman"/>
                      <w:spacing w:val="6"/>
                      <w:sz w:val="21"/>
                      <w:szCs w:val="21"/>
                      <w:u w:val="single"/>
                    </w:rPr>
                    <w:t>075</w:t>
                  </w:r>
                </w:p>
              </w:tc>
              <w:tc>
                <w:tcPr>
                  <w:tcW w:w="1848"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26.8038</w:t>
                  </w:r>
                </w:p>
              </w:tc>
              <w:tc>
                <w:tcPr>
                  <w:tcW w:w="1849" w:type="dxa"/>
                </w:tcPr>
                <w:p>
                  <w:pPr>
                    <w:spacing w:line="240" w:lineRule="auto"/>
                    <w:jc w:val="center"/>
                    <w:rPr>
                      <w:rFonts w:ascii="Times New Roman" w:hAnsi="Times New Roman"/>
                      <w:spacing w:val="6"/>
                      <w:sz w:val="21"/>
                      <w:szCs w:val="21"/>
                      <w:u w:val="single"/>
                    </w:rPr>
                  </w:pPr>
                  <w:r>
                    <w:rPr>
                      <w:rFonts w:hint="eastAsia" w:ascii="Times New Roman" w:hAnsi="Times New Roman" w:cs="宋体"/>
                      <w:color w:val="000000"/>
                      <w:kern w:val="0"/>
                      <w:sz w:val="21"/>
                      <w:szCs w:val="21"/>
                      <w:u w:val="single"/>
                      <w:lang w:bidi="ar"/>
                    </w:rPr>
                    <w:t>4.1093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8" w:type="dxa"/>
                  <w:gridSpan w:val="2"/>
                </w:tcPr>
                <w:p>
                  <w:pPr>
                    <w:spacing w:line="240" w:lineRule="auto"/>
                    <w:jc w:val="center"/>
                    <w:rPr>
                      <w:rFonts w:ascii="Times New Roman" w:hAnsi="Times New Roman"/>
                      <w:spacing w:val="6"/>
                      <w:sz w:val="21"/>
                      <w:szCs w:val="21"/>
                    </w:rPr>
                  </w:pPr>
                  <w:r>
                    <w:rPr>
                      <w:rFonts w:hint="eastAsia" w:ascii="Times New Roman" w:hAnsi="Times New Roman"/>
                      <w:spacing w:val="6"/>
                      <w:sz w:val="21"/>
                      <w:szCs w:val="21"/>
                    </w:rPr>
                    <w:t>背景值</w:t>
                  </w:r>
                </w:p>
              </w:tc>
              <w:tc>
                <w:tcPr>
                  <w:tcW w:w="7393" w:type="dxa"/>
                  <w:gridSpan w:val="4"/>
                </w:tcPr>
                <w:p>
                  <w:pPr>
                    <w:spacing w:line="240" w:lineRule="auto"/>
                    <w:jc w:val="center"/>
                    <w:rPr>
                      <w:rFonts w:ascii="Times New Roman" w:hAnsi="Times New Roman" w:cs="宋体"/>
                      <w:color w:val="000000"/>
                      <w:kern w:val="0"/>
                      <w:sz w:val="21"/>
                      <w:szCs w:val="21"/>
                      <w:lang w:bidi="ar"/>
                    </w:rPr>
                  </w:pPr>
                  <w:r>
                    <w:rPr>
                      <w:rFonts w:hint="eastAsia" w:ascii="Times New Roman" w:hAnsi="Times New Roman"/>
                      <w:sz w:val="21"/>
                      <w:szCs w:val="21"/>
                    </w:rPr>
                    <w:t>COD：22.6mg/L、</w:t>
                  </w: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r>
                    <w:rPr>
                      <w:rFonts w:hint="eastAsia" w:ascii="Times New Roman" w:hAnsi="Times New Roman"/>
                      <w:sz w:val="21"/>
                      <w:szCs w:val="21"/>
                    </w:rPr>
                    <w:t>：3.67mg/L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8" w:type="dxa"/>
                  <w:gridSpan w:val="2"/>
                </w:tcPr>
                <w:p>
                  <w:pPr>
                    <w:spacing w:line="240" w:lineRule="auto"/>
                    <w:jc w:val="center"/>
                    <w:rPr>
                      <w:rFonts w:ascii="Times New Roman" w:hAnsi="Times New Roman"/>
                      <w:spacing w:val="6"/>
                      <w:sz w:val="21"/>
                      <w:szCs w:val="21"/>
                    </w:rPr>
                  </w:pPr>
                  <w:r>
                    <w:rPr>
                      <w:rFonts w:ascii="Times New Roman" w:hAnsi="Times New Roman"/>
                      <w:sz w:val="21"/>
                      <w:szCs w:val="21"/>
                    </w:rPr>
                    <w:t>Ⅲ类</w:t>
                  </w:r>
                  <w:r>
                    <w:rPr>
                      <w:rFonts w:hint="eastAsia" w:ascii="Times New Roman" w:hAnsi="Times New Roman"/>
                      <w:sz w:val="21"/>
                      <w:szCs w:val="21"/>
                    </w:rPr>
                    <w:t>标准值</w:t>
                  </w:r>
                </w:p>
              </w:tc>
              <w:tc>
                <w:tcPr>
                  <w:tcW w:w="7393" w:type="dxa"/>
                  <w:gridSpan w:val="4"/>
                </w:tcPr>
                <w:p>
                  <w:pPr>
                    <w:spacing w:line="240" w:lineRule="auto"/>
                    <w:jc w:val="center"/>
                    <w:rPr>
                      <w:rFonts w:ascii="Times New Roman" w:hAnsi="Times New Roman" w:cs="宋体"/>
                      <w:color w:val="000000"/>
                      <w:kern w:val="0"/>
                      <w:sz w:val="21"/>
                      <w:szCs w:val="21"/>
                      <w:lang w:bidi="ar"/>
                    </w:rPr>
                  </w:pPr>
                  <w:r>
                    <w:rPr>
                      <w:rFonts w:hint="eastAsia" w:ascii="Times New Roman" w:hAnsi="Times New Roman"/>
                      <w:sz w:val="21"/>
                      <w:szCs w:val="21"/>
                    </w:rPr>
                    <w:t>COD：20mg/L、</w:t>
                  </w:r>
                  <w:r>
                    <w:rPr>
                      <w:rFonts w:ascii="Times New Roman" w:hAnsi="Times New Roman"/>
                      <w:sz w:val="21"/>
                      <w:szCs w:val="21"/>
                    </w:rPr>
                    <w:t>NH</w:t>
                  </w:r>
                  <w:r>
                    <w:rPr>
                      <w:rFonts w:ascii="Times New Roman" w:hAnsi="Times New Roman"/>
                      <w:sz w:val="21"/>
                      <w:szCs w:val="21"/>
                      <w:vertAlign w:val="subscript"/>
                    </w:rPr>
                    <w:t>3</w:t>
                  </w:r>
                  <w:r>
                    <w:rPr>
                      <w:rFonts w:ascii="Times New Roman" w:hAnsi="Times New Roman"/>
                      <w:sz w:val="21"/>
                      <w:szCs w:val="21"/>
                    </w:rPr>
                    <w:t>-N</w:t>
                  </w:r>
                  <w:r>
                    <w:rPr>
                      <w:rFonts w:hint="eastAsia" w:ascii="Times New Roman" w:hAnsi="Times New Roman"/>
                      <w:sz w:val="21"/>
                      <w:szCs w:val="21"/>
                    </w:rPr>
                    <w:t>：1.0mg/L</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rPr>
              <w:t xml:space="preserve">  </w:t>
            </w:r>
            <w:r>
              <w:rPr>
                <w:rFonts w:hint="eastAsia" w:ascii="Times New Roman" w:hAnsi="Times New Roman" w:eastAsia="宋体" w:cs="Times New Roman"/>
                <w:color w:val="000000"/>
                <w:kern w:val="0"/>
                <w:szCs w:val="24"/>
                <w:lang w:bidi="ar"/>
              </w:rPr>
              <w:fldChar w:fldCharType="begin"/>
            </w:r>
            <w:r>
              <w:rPr>
                <w:rFonts w:hint="eastAsia" w:ascii="Times New Roman" w:hAnsi="Times New Roman" w:eastAsia="宋体" w:cs="Times New Roman"/>
                <w:color w:val="000000"/>
                <w:kern w:val="0"/>
                <w:szCs w:val="24"/>
                <w:lang w:bidi="ar"/>
              </w:rPr>
              <w:instrText xml:space="preserve"> = 9 \* GB3 \* MERGEFORMAT </w:instrText>
            </w:r>
            <w:r>
              <w:rPr>
                <w:rFonts w:hint="eastAsia" w:ascii="Times New Roman" w:hAnsi="Times New Roman" w:eastAsia="宋体" w:cs="Times New Roman"/>
                <w:color w:val="000000"/>
                <w:kern w:val="0"/>
                <w:szCs w:val="24"/>
                <w:lang w:bidi="ar"/>
              </w:rPr>
              <w:fldChar w:fldCharType="separate"/>
            </w:r>
            <w:r>
              <w:rPr>
                <w:rFonts w:hint="eastAsia" w:ascii="宋体" w:hAnsi="宋体" w:eastAsia="宋体" w:cs="宋体"/>
                <w:color w:val="000000"/>
                <w:kern w:val="0"/>
                <w:szCs w:val="24"/>
                <w:lang w:bidi="ar"/>
              </w:rPr>
              <w:t>⑨</w:t>
            </w:r>
            <w:r>
              <w:rPr>
                <w:rFonts w:hint="eastAsia" w:ascii="Times New Roman" w:hAnsi="Times New Roman" w:eastAsia="宋体" w:cs="Times New Roman"/>
                <w:color w:val="000000"/>
                <w:kern w:val="0"/>
                <w:szCs w:val="24"/>
                <w:lang w:bidi="ar"/>
              </w:rPr>
              <w:fldChar w:fldCharType="end"/>
            </w:r>
            <w:r>
              <w:rPr>
                <w:rFonts w:hint="eastAsia" w:ascii="Times New Roman" w:hAnsi="Times New Roman" w:eastAsia="宋体" w:cs="Times New Roman"/>
                <w:color w:val="000000"/>
                <w:kern w:val="0"/>
                <w:szCs w:val="24"/>
                <w:lang w:bidi="ar"/>
              </w:rPr>
              <w:t>预测结果分析</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 xml:space="preserve">    COD和</w:t>
            </w:r>
            <w:r>
              <w:rPr>
                <w:rFonts w:ascii="Times New Roman" w:hAnsi="Times New Roman" w:eastAsia="宋体" w:cs="Times New Roman"/>
                <w:color w:val="000000"/>
                <w:kern w:val="0"/>
                <w:szCs w:val="24"/>
                <w:lang w:bidi="ar"/>
              </w:rPr>
              <w:t>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-N</w:t>
            </w:r>
            <w:r>
              <w:rPr>
                <w:rFonts w:hint="eastAsia" w:ascii="Times New Roman" w:hAnsi="Times New Roman" w:eastAsia="宋体" w:cs="Times New Roman"/>
                <w:color w:val="000000"/>
                <w:kern w:val="0"/>
                <w:szCs w:val="24"/>
                <w:lang w:bidi="ar"/>
              </w:rPr>
              <w:t>的背景值分别为：22.6mg/L、3.67mg/L，已超过</w:t>
            </w:r>
            <w:r>
              <w:rPr>
                <w:rFonts w:ascii="Times New Roman" w:hAnsi="Times New Roman" w:eastAsia="宋体" w:cs="Times New Roman"/>
                <w:color w:val="000000"/>
                <w:kern w:val="0"/>
                <w:szCs w:val="24"/>
                <w:lang w:bidi="ar"/>
              </w:rPr>
              <w:t>Ⅲ类</w:t>
            </w:r>
            <w:r>
              <w:rPr>
                <w:rFonts w:hint="eastAsia" w:ascii="Times New Roman" w:hAnsi="Times New Roman" w:eastAsia="宋体" w:cs="Times New Roman"/>
                <w:color w:val="000000"/>
                <w:kern w:val="0"/>
                <w:szCs w:val="24"/>
                <w:lang w:bidi="ar"/>
              </w:rPr>
              <w:t>地表水标准值，超标的原因可能是因为岳阳市经济开发区污水管网不完善，部分工业废水和居民生活用水排至北港河导致水质超标。</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因为考虑到受纳水体北港河超标因子与本项目废水特征因子一致，北港河没有环境容量，本项目污水处理排放标准提标，经处理后的污水满足《城镇污水处理厂污染物排放标准》（GB18918-2002）一级A标后排至北港河。</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通过以上预测可知，在正常排放和非正常排放的情况下，排放口初始断面COD、</w:t>
            </w:r>
            <w:r>
              <w:rPr>
                <w:rFonts w:ascii="Times New Roman" w:hAnsi="Times New Roman" w:eastAsia="宋体" w:cs="Times New Roman"/>
                <w:color w:val="000000"/>
                <w:kern w:val="0"/>
                <w:szCs w:val="24"/>
                <w:lang w:bidi="ar"/>
              </w:rPr>
              <w:t>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-N</w:t>
            </w:r>
            <w:r>
              <w:rPr>
                <w:rFonts w:hint="eastAsia" w:ascii="Times New Roman" w:hAnsi="Times New Roman" w:eastAsia="宋体" w:cs="Times New Roman"/>
                <w:color w:val="000000"/>
                <w:kern w:val="0"/>
                <w:szCs w:val="24"/>
                <w:lang w:bidi="ar"/>
              </w:rPr>
              <w:t>的混合浓度均超过了《地表水环境质量标准》（GB3838-2002）Ⅲ类标准值要求。在正常排放状态下，初始断面COD、</w:t>
            </w:r>
            <w:r>
              <w:rPr>
                <w:rFonts w:ascii="Times New Roman" w:hAnsi="Times New Roman" w:eastAsia="宋体" w:cs="Times New Roman"/>
                <w:color w:val="000000"/>
                <w:kern w:val="0"/>
                <w:szCs w:val="24"/>
                <w:lang w:bidi="ar"/>
              </w:rPr>
              <w:t>NH</w:t>
            </w:r>
            <w:r>
              <w:rPr>
                <w:rFonts w:ascii="Times New Roman" w:hAnsi="Times New Roman" w:eastAsia="宋体" w:cs="Times New Roman"/>
                <w:color w:val="000000"/>
                <w:kern w:val="0"/>
                <w:szCs w:val="24"/>
                <w:vertAlign w:val="subscript"/>
                <w:lang w:bidi="ar"/>
              </w:rPr>
              <w:t>3</w:t>
            </w:r>
            <w:r>
              <w:rPr>
                <w:rFonts w:ascii="Times New Roman" w:hAnsi="Times New Roman" w:eastAsia="宋体" w:cs="Times New Roman"/>
                <w:color w:val="000000"/>
                <w:kern w:val="0"/>
                <w:szCs w:val="24"/>
                <w:lang w:bidi="ar"/>
              </w:rPr>
              <w:t>-N</w:t>
            </w:r>
            <w:r>
              <w:rPr>
                <w:rFonts w:hint="eastAsia" w:ascii="Times New Roman" w:hAnsi="Times New Roman" w:eastAsia="宋体" w:cs="Times New Roman"/>
                <w:color w:val="000000"/>
                <w:kern w:val="0"/>
                <w:szCs w:val="24"/>
                <w:lang w:bidi="ar"/>
              </w:rPr>
              <w:t>的贡献值分别为：0.4687mg/L、0.0086mg/L，贡献率仅占2.02%、0.233%。</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2018年岳阳经济开发区已开始对北港河流域进行综合整治，计划对所在片区的雨污管网进行改造、对城中村污水进行收集以及对河底淤泥进行清淤、修复北港河生态等，对北港河水质有改善作用，北港河的纳污能力将得到提高。</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且项目所在片区污水管网正在完善，项目所在地连接到污水处理厂的污水管网正在修建，本项目建成后，污水管网连通到污水处理厂的可能性比较大，所以本项目运营期间污水排至污水处理厂的可能性比较大。</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（4）废水类别、污染物及污染防治设施信息</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项目废水及污染防治设施信息如下表所示：</w:t>
            </w:r>
          </w:p>
          <w:p>
            <w:pPr>
              <w:pStyle w:val="2"/>
              <w:jc w:val="center"/>
              <w:rPr>
                <w:lang w:bidi="ar"/>
              </w:rPr>
            </w:pPr>
            <w:r>
              <w:rPr>
                <w:rFonts w:hint="eastAsia" w:ascii="Times New Roman" w:hAnsi="Times New Roman"/>
                <w:b/>
                <w:bCs/>
              </w:rPr>
              <w:t>表7-1</w:t>
            </w:r>
            <w:r>
              <w:rPr>
                <w:rFonts w:ascii="Times New Roman" w:hAnsi="Times New Roman"/>
                <w:b/>
                <w:bCs/>
              </w:rPr>
              <w:t>2</w:t>
            </w:r>
            <w:r>
              <w:rPr>
                <w:rFonts w:hint="eastAsia" w:ascii="Times New Roman" w:hAnsi="Times New Roman"/>
                <w:b/>
                <w:bCs/>
              </w:rPr>
              <w:t xml:space="preserve">   废水类别、污染物及污染治理设施信息表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433"/>
              <w:gridCol w:w="1063"/>
              <w:gridCol w:w="747"/>
              <w:gridCol w:w="732"/>
              <w:gridCol w:w="668"/>
              <w:gridCol w:w="709"/>
              <w:gridCol w:w="890"/>
              <w:gridCol w:w="881"/>
              <w:gridCol w:w="709"/>
              <w:gridCol w:w="19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vMerge w:val="restart"/>
                  <w:vAlign w:val="center"/>
                </w:tcPr>
                <w:p>
                  <w:pPr>
                    <w:autoSpaceDE w:val="0"/>
                    <w:autoSpaceDN w:val="0"/>
                    <w:adjustRightInd w:val="0"/>
                    <w:spacing w:line="240" w:lineRule="auto"/>
                    <w:jc w:val="center"/>
                    <w:rPr>
                      <w:rFonts w:ascii="Times New Roman" w:hAnsi="Times New Roman"/>
                      <w:b/>
                      <w:bCs/>
                      <w:sz w:val="21"/>
                      <w:szCs w:val="21"/>
                    </w:rPr>
                  </w:pPr>
                  <w:bookmarkStart w:id="75" w:name="_Hlk33083095"/>
                  <w:r>
                    <w:rPr>
                      <w:rFonts w:hint="eastAsia" w:ascii="Times New Roman" w:hAnsi="Times New Roman"/>
                      <w:b/>
                      <w:bCs/>
                      <w:sz w:val="21"/>
                      <w:szCs w:val="21"/>
                    </w:rPr>
                    <w:t>序号</w:t>
                  </w:r>
                </w:p>
              </w:tc>
              <w:tc>
                <w:tcPr>
                  <w:tcW w:w="253"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废水类别</w:t>
                  </w:r>
                </w:p>
              </w:tc>
              <w:tc>
                <w:tcPr>
                  <w:tcW w:w="594"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423"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排放去向</w:t>
                  </w:r>
                </w:p>
              </w:tc>
              <w:tc>
                <w:tcPr>
                  <w:tcW w:w="415"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排放规律</w:t>
                  </w:r>
                </w:p>
              </w:tc>
              <w:tc>
                <w:tcPr>
                  <w:tcW w:w="1282" w:type="pct"/>
                  <w:gridSpan w:val="3"/>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w:t>
                  </w:r>
                </w:p>
              </w:tc>
              <w:tc>
                <w:tcPr>
                  <w:tcW w:w="339"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402"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排放口设置是否符合要求</w:t>
                  </w:r>
                </w:p>
              </w:tc>
              <w:tc>
                <w:tcPr>
                  <w:tcW w:w="1091"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253"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594"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423"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415"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380" w:type="pct"/>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污染治理设施编号</w:t>
                  </w:r>
                </w:p>
              </w:tc>
              <w:tc>
                <w:tcPr>
                  <w:tcW w:w="402" w:type="pct"/>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污染治理设施名称</w:t>
                  </w:r>
                </w:p>
              </w:tc>
              <w:tc>
                <w:tcPr>
                  <w:tcW w:w="500" w:type="pct"/>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污染治理设施工艺</w:t>
                  </w:r>
                </w:p>
              </w:tc>
              <w:tc>
                <w:tcPr>
                  <w:tcW w:w="339"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402"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091" w:type="pct"/>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bookmarkStart w:id="76" w:name="_Hlk33083268"/>
                  <w:r>
                    <w:rPr>
                      <w:rFonts w:hint="eastAsia" w:ascii="Times New Roman" w:hAnsi="Times New Roman"/>
                      <w:sz w:val="21"/>
                      <w:szCs w:val="21"/>
                    </w:rPr>
                    <w:t>1</w:t>
                  </w:r>
                </w:p>
              </w:tc>
              <w:tc>
                <w:tcPr>
                  <w:tcW w:w="253"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实验室废水</w:t>
                  </w:r>
                </w:p>
              </w:tc>
              <w:tc>
                <w:tcPr>
                  <w:tcW w:w="594"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w:t>
                  </w:r>
                  <w:r>
                    <w:rPr>
                      <w:rFonts w:ascii="Times New Roman" w:hAnsi="Times New Roman"/>
                      <w:sz w:val="21"/>
                      <w:szCs w:val="21"/>
                    </w:rPr>
                    <w:t xml:space="preserve"> </w:t>
                  </w:r>
                </w:p>
              </w:tc>
              <w:tc>
                <w:tcPr>
                  <w:tcW w:w="423"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排至项目内污水处理站</w:t>
                  </w:r>
                </w:p>
              </w:tc>
              <w:tc>
                <w:tcPr>
                  <w:tcW w:w="415"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间断排放，流量稳定</w:t>
                  </w:r>
                </w:p>
              </w:tc>
              <w:tc>
                <w:tcPr>
                  <w:tcW w:w="380"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W1</w:t>
                  </w:r>
                </w:p>
              </w:tc>
              <w:tc>
                <w:tcPr>
                  <w:tcW w:w="402"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实验室废水处理设施+化粪池</w:t>
                  </w:r>
                </w:p>
              </w:tc>
              <w:tc>
                <w:tcPr>
                  <w:tcW w:w="500"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339" w:type="pct"/>
                  <w:tcBorders>
                    <w:top w:val="single" w:color="auto" w:sz="12" w:space="0"/>
                    <w:bottom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DW001</w:t>
                  </w:r>
                </w:p>
              </w:tc>
              <w:tc>
                <w:tcPr>
                  <w:tcW w:w="402" w:type="pc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091" w:type="pct"/>
                  <w:tcBorders>
                    <w:top w:val="single" w:color="auto" w:sz="12" w:space="0"/>
                    <w:bottom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□企业总排    □清净下水排放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  □雨水排放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车间或车间处理设施排放</w:t>
                  </w:r>
                </w:p>
              </w:tc>
            </w:tr>
            <w:bookmarkEnd w:id="76"/>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2</w:t>
                  </w:r>
                </w:p>
              </w:tc>
              <w:tc>
                <w:tcPr>
                  <w:tcW w:w="253"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生活污水</w:t>
                  </w:r>
                </w:p>
              </w:tc>
              <w:tc>
                <w:tcPr>
                  <w:tcW w:w="594"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423"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排至项目内污水处理站</w:t>
                  </w:r>
                </w:p>
              </w:tc>
              <w:tc>
                <w:tcPr>
                  <w:tcW w:w="415"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380"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w:t>
                  </w:r>
                  <w:r>
                    <w:rPr>
                      <w:rFonts w:ascii="Times New Roman" w:hAnsi="Times New Roman"/>
                      <w:sz w:val="21"/>
                      <w:szCs w:val="21"/>
                    </w:rPr>
                    <w:t>2</w:t>
                  </w:r>
                </w:p>
              </w:tc>
              <w:tc>
                <w:tcPr>
                  <w:tcW w:w="402"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化粪池</w:t>
                  </w:r>
                </w:p>
              </w:tc>
              <w:tc>
                <w:tcPr>
                  <w:tcW w:w="500"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339" w:type="pct"/>
                  <w:tcBorders>
                    <w:top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DW00</w:t>
                  </w:r>
                  <w:r>
                    <w:rPr>
                      <w:rFonts w:ascii="Times New Roman" w:hAnsi="Times New Roman"/>
                      <w:sz w:val="21"/>
                      <w:szCs w:val="21"/>
                    </w:rPr>
                    <w:t>2</w:t>
                  </w:r>
                </w:p>
              </w:tc>
              <w:tc>
                <w:tcPr>
                  <w:tcW w:w="402" w:type="pct"/>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091" w:type="pct"/>
                  <w:tcBorders>
                    <w:top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□企业总排    □清净下水排放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  □雨水排放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车间或车间处理设施排放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3</w:t>
                  </w:r>
                </w:p>
              </w:tc>
              <w:tc>
                <w:tcPr>
                  <w:tcW w:w="253"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食堂污水</w:t>
                  </w:r>
                </w:p>
              </w:tc>
              <w:tc>
                <w:tcPr>
                  <w:tcW w:w="59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423"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排至项目内污水处理站</w:t>
                  </w:r>
                </w:p>
              </w:tc>
              <w:tc>
                <w:tcPr>
                  <w:tcW w:w="415"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38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w:t>
                  </w:r>
                  <w:r>
                    <w:rPr>
                      <w:rFonts w:ascii="Times New Roman" w:hAnsi="Times New Roman"/>
                      <w:sz w:val="21"/>
                      <w:szCs w:val="21"/>
                    </w:rPr>
                    <w:t>3</w:t>
                  </w:r>
                </w:p>
              </w:tc>
              <w:tc>
                <w:tcPr>
                  <w:tcW w:w="402"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隔油沉淀池+化粪池</w:t>
                  </w:r>
                </w:p>
              </w:tc>
              <w:tc>
                <w:tcPr>
                  <w:tcW w:w="50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339" w:type="pct"/>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DW00</w:t>
                  </w:r>
                  <w:r>
                    <w:rPr>
                      <w:rFonts w:ascii="Times New Roman" w:hAnsi="Times New Roman"/>
                      <w:sz w:val="21"/>
                      <w:szCs w:val="21"/>
                    </w:rPr>
                    <w:t>3</w:t>
                  </w:r>
                </w:p>
              </w:tc>
              <w:tc>
                <w:tcPr>
                  <w:tcW w:w="402"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091" w:type="pct"/>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□企业总排    □清净下水排放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  □雨水排放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车间或车间处理设施排放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1"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2</w:t>
                  </w:r>
                </w:p>
              </w:tc>
              <w:tc>
                <w:tcPr>
                  <w:tcW w:w="253"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综合废水</w:t>
                  </w:r>
                </w:p>
              </w:tc>
              <w:tc>
                <w:tcPr>
                  <w:tcW w:w="59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423"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北港河</w:t>
                  </w:r>
                </w:p>
              </w:tc>
              <w:tc>
                <w:tcPr>
                  <w:tcW w:w="415"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38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w:t>
                  </w:r>
                  <w:r>
                    <w:rPr>
                      <w:rFonts w:ascii="Times New Roman" w:hAnsi="Times New Roman"/>
                      <w:sz w:val="21"/>
                      <w:szCs w:val="21"/>
                    </w:rPr>
                    <w:t>4</w:t>
                  </w:r>
                </w:p>
              </w:tc>
              <w:tc>
                <w:tcPr>
                  <w:tcW w:w="402"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污水处理站</w:t>
                  </w:r>
                </w:p>
              </w:tc>
              <w:tc>
                <w:tcPr>
                  <w:tcW w:w="50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MBR</w:t>
                  </w:r>
                </w:p>
              </w:tc>
              <w:tc>
                <w:tcPr>
                  <w:tcW w:w="339" w:type="pct"/>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DW00</w:t>
                  </w:r>
                  <w:r>
                    <w:rPr>
                      <w:rFonts w:ascii="Times New Roman" w:hAnsi="Times New Roman"/>
                      <w:sz w:val="21"/>
                      <w:szCs w:val="21"/>
                    </w:rPr>
                    <w:t>4</w:t>
                  </w:r>
                </w:p>
              </w:tc>
              <w:tc>
                <w:tcPr>
                  <w:tcW w:w="402"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sym w:font="Wingdings 2" w:char="0052"/>
                  </w: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091" w:type="pct"/>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☑企业总排    □清净下水排放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  □雨水排放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□车间或车间处理设施排放</w:t>
                  </w:r>
                </w:p>
              </w:tc>
            </w:tr>
            <w:bookmarkEnd w:id="75"/>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本项目废水经自建污水处理站</w:t>
            </w:r>
            <w:r>
              <w:rPr>
                <w:rFonts w:ascii="Times New Roman" w:hAnsi="Times New Roman" w:eastAsia="宋体" w:cs="Times New Roman"/>
                <w:color w:val="000000"/>
                <w:kern w:val="0"/>
                <w:szCs w:val="24"/>
                <w:lang w:bidi="ar"/>
              </w:rPr>
              <w:t>处理</w:t>
            </w:r>
            <w:r>
              <w:rPr>
                <w:rFonts w:hint="eastAsia" w:ascii="Times New Roman" w:hAnsi="Times New Roman" w:eastAsia="宋体" w:cs="Times New Roman"/>
                <w:color w:val="000000"/>
                <w:kern w:val="0"/>
                <w:szCs w:val="24"/>
                <w:lang w:bidi="ar"/>
              </w:rPr>
              <w:t>后外排至北港河，</w:t>
            </w:r>
            <w:r>
              <w:rPr>
                <w:rFonts w:ascii="Times New Roman" w:hAnsi="Times New Roman" w:eastAsia="宋体" w:cs="Times New Roman"/>
                <w:color w:val="000000"/>
                <w:kern w:val="0"/>
                <w:szCs w:val="24"/>
                <w:lang w:bidi="ar"/>
              </w:rPr>
              <w:t>属于</w:t>
            </w:r>
            <w:r>
              <w:rPr>
                <w:rFonts w:hint="eastAsia" w:ascii="Times New Roman" w:hAnsi="Times New Roman" w:eastAsia="宋体" w:cs="Times New Roman"/>
                <w:color w:val="000000"/>
                <w:kern w:val="0"/>
                <w:szCs w:val="24"/>
                <w:lang w:bidi="ar"/>
              </w:rPr>
              <w:t>直</w:t>
            </w:r>
            <w:r>
              <w:rPr>
                <w:rFonts w:ascii="Times New Roman" w:hAnsi="Times New Roman" w:eastAsia="宋体" w:cs="Times New Roman"/>
                <w:color w:val="000000"/>
                <w:kern w:val="0"/>
                <w:szCs w:val="24"/>
                <w:lang w:bidi="ar"/>
              </w:rPr>
              <w:t>接排放</w:t>
            </w:r>
            <w:r>
              <w:rPr>
                <w:rFonts w:hint="eastAsia" w:ascii="Times New Roman" w:hAnsi="Times New Roman" w:eastAsia="宋体" w:cs="Times New Roman"/>
                <w:color w:val="000000"/>
                <w:kern w:val="0"/>
                <w:szCs w:val="24"/>
                <w:lang w:bidi="ar"/>
              </w:rPr>
              <w:t>。本项目废水直接排放口基本情况如下表所示：</w:t>
            </w:r>
          </w:p>
          <w:p>
            <w:pPr>
              <w:autoSpaceDE w:val="0"/>
              <w:autoSpaceDN w:val="0"/>
              <w:adjustRightInd w:val="0"/>
              <w:spacing w:line="276" w:lineRule="auto"/>
              <w:jc w:val="center"/>
              <w:rPr>
                <w:rFonts w:ascii="Times New Roman" w:hAnsi="Times New Roman"/>
                <w:b/>
                <w:bCs/>
              </w:rPr>
            </w:pPr>
            <w:r>
              <w:rPr>
                <w:rFonts w:hint="eastAsia" w:ascii="Times New Roman" w:hAnsi="Times New Roman"/>
                <w:b/>
                <w:bCs/>
              </w:rPr>
              <w:t>表7-1</w:t>
            </w:r>
            <w:r>
              <w:rPr>
                <w:rFonts w:ascii="Times New Roman" w:hAnsi="Times New Roman"/>
                <w:b/>
                <w:bCs/>
              </w:rPr>
              <w:t>3</w:t>
            </w:r>
            <w:r>
              <w:rPr>
                <w:rFonts w:hint="eastAsia" w:ascii="Times New Roman" w:hAnsi="Times New Roman"/>
                <w:b/>
                <w:bCs/>
              </w:rPr>
              <w:t xml:space="preserve">    废水直接排放口基本情况表</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1"/>
              <w:gridCol w:w="996"/>
              <w:gridCol w:w="899"/>
              <w:gridCol w:w="794"/>
              <w:gridCol w:w="634"/>
              <w:gridCol w:w="678"/>
              <w:gridCol w:w="471"/>
              <w:gridCol w:w="464"/>
              <w:gridCol w:w="673"/>
              <w:gridCol w:w="997"/>
              <w:gridCol w:w="900"/>
              <w:gridCol w:w="4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ascii="Times New Roman" w:hAnsi="Times New Roman"/>
                      <w:b/>
                      <w:bCs/>
                      <w:sz w:val="21"/>
                      <w:szCs w:val="21"/>
                    </w:rPr>
                    <w:t>序号</w:t>
                  </w:r>
                </w:p>
              </w:tc>
              <w:tc>
                <w:tcPr>
                  <w:tcW w:w="313" w:type="pct"/>
                  <w:vMerge w:val="restart"/>
                  <w:vAlign w:val="center"/>
                </w:tcPr>
                <w:p>
                  <w:pPr>
                    <w:autoSpaceDE w:val="0"/>
                    <w:autoSpaceDN w:val="0"/>
                    <w:adjustRightInd w:val="0"/>
                    <w:spacing w:line="240" w:lineRule="auto"/>
                    <w:jc w:val="center"/>
                    <w:rPr>
                      <w:rFonts w:ascii="Times New Roman" w:hAnsi="Times New Roman"/>
                      <w:b/>
                      <w:bCs/>
                      <w:sz w:val="21"/>
                      <w:szCs w:val="21"/>
                    </w:rPr>
                  </w:pPr>
                  <w:r>
                    <w:rPr>
                      <w:rFonts w:ascii="Times New Roman" w:hAnsi="Times New Roman"/>
                      <w:b/>
                      <w:bCs/>
                      <w:sz w:val="21"/>
                      <w:szCs w:val="21"/>
                    </w:rPr>
                    <w:t>排放口编号</w:t>
                  </w:r>
                </w:p>
              </w:tc>
              <w:tc>
                <w:tcPr>
                  <w:tcW w:w="730" w:type="pct"/>
                  <w:gridSpan w:val="2"/>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排放口地理坐标</w:t>
                  </w:r>
                </w:p>
              </w:tc>
              <w:tc>
                <w:tcPr>
                  <w:tcW w:w="411" w:type="pct"/>
                  <w:vMerge w:val="restar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废水排放量/(万t/a)</w:t>
                  </w:r>
                </w:p>
              </w:tc>
              <w:tc>
                <w:tcPr>
                  <w:tcW w:w="435" w:type="pct"/>
                  <w:vMerge w:val="restar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排放去向</w:t>
                  </w:r>
                </w:p>
              </w:tc>
              <w:tc>
                <w:tcPr>
                  <w:tcW w:w="459" w:type="pct"/>
                  <w:vMerge w:val="restar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排放规律</w:t>
                  </w:r>
                </w:p>
              </w:tc>
              <w:tc>
                <w:tcPr>
                  <w:tcW w:w="347" w:type="pct"/>
                  <w:vMerge w:val="restar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间歇排放时段</w:t>
                  </w:r>
                </w:p>
              </w:tc>
              <w:tc>
                <w:tcPr>
                  <w:tcW w:w="799" w:type="pct"/>
                  <w:gridSpan w:val="2"/>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受纳自然水体信息</w:t>
                  </w:r>
                </w:p>
              </w:tc>
              <w:tc>
                <w:tcPr>
                  <w:tcW w:w="1118" w:type="pct"/>
                  <w:gridSpan w:val="2"/>
                  <w:vAlign w:val="center"/>
                </w:tcPr>
                <w:p>
                  <w:pPr>
                    <w:autoSpaceDE w:val="0"/>
                    <w:autoSpaceDN w:val="0"/>
                    <w:adjustRightInd w:val="0"/>
                    <w:spacing w:line="240" w:lineRule="auto"/>
                    <w:rPr>
                      <w:rFonts w:ascii="Times New Roman" w:hAnsi="Times New Roman"/>
                      <w:sz w:val="21"/>
                      <w:szCs w:val="21"/>
                    </w:rPr>
                  </w:pPr>
                  <w:r>
                    <w:rPr>
                      <w:rFonts w:ascii="Times New Roman" w:hAnsi="Times New Roman"/>
                      <w:sz w:val="21"/>
                      <w:szCs w:val="21"/>
                    </w:rPr>
                    <w:t>汇入受纳自然水体处地理坐标</w:t>
                  </w:r>
                </w:p>
              </w:tc>
              <w:tc>
                <w:tcPr>
                  <w:tcW w:w="209" w:type="pct"/>
                  <w:vMerge w:val="restar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313"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354"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经度</w:t>
                  </w:r>
                </w:p>
              </w:tc>
              <w:tc>
                <w:tcPr>
                  <w:tcW w:w="376"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纬度</w:t>
                  </w:r>
                </w:p>
              </w:tc>
              <w:tc>
                <w:tcPr>
                  <w:tcW w:w="411"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435"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459"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347"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343"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名称</w:t>
                  </w:r>
                </w:p>
              </w:tc>
              <w:tc>
                <w:tcPr>
                  <w:tcW w:w="456"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受纳水体功能目标</w:t>
                  </w:r>
                </w:p>
              </w:tc>
              <w:tc>
                <w:tcPr>
                  <w:tcW w:w="603"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经度</w:t>
                  </w:r>
                </w:p>
              </w:tc>
              <w:tc>
                <w:tcPr>
                  <w:tcW w:w="51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纬度</w:t>
                  </w:r>
                </w:p>
              </w:tc>
              <w:tc>
                <w:tcPr>
                  <w:tcW w:w="209" w:type="pct"/>
                  <w:vMerge w:val="continue"/>
                  <w:vAlign w:val="center"/>
                </w:tcPr>
                <w:p>
                  <w:pPr>
                    <w:autoSpaceDE w:val="0"/>
                    <w:autoSpaceDN w:val="0"/>
                    <w:adjustRightInd w:val="0"/>
                    <w:spacing w:line="240" w:lineRule="auto"/>
                    <w:jc w:val="center"/>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1</w:t>
                  </w:r>
                </w:p>
              </w:tc>
              <w:tc>
                <w:tcPr>
                  <w:tcW w:w="313"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DW004</w:t>
                  </w:r>
                </w:p>
              </w:tc>
              <w:tc>
                <w:tcPr>
                  <w:tcW w:w="354" w:type="pct"/>
                  <w:vAlign w:val="center"/>
                </w:tcPr>
                <w:p>
                  <w:pPr>
                    <w:autoSpaceDE w:val="0"/>
                    <w:autoSpaceDN w:val="0"/>
                    <w:adjustRightInd w:val="0"/>
                    <w:spacing w:line="240" w:lineRule="auto"/>
                    <w:rPr>
                      <w:rFonts w:ascii="Times New Roman" w:hAnsi="Times New Roman"/>
                      <w:sz w:val="21"/>
                      <w:szCs w:val="21"/>
                    </w:rPr>
                  </w:pPr>
                  <w:r>
                    <w:rPr>
                      <w:rFonts w:ascii="Times New Roman" w:hAnsi="Times New Roman"/>
                      <w:sz w:val="21"/>
                      <w:szCs w:val="21"/>
                    </w:rPr>
                    <w:t>113.1890</w:t>
                  </w:r>
                </w:p>
              </w:tc>
              <w:tc>
                <w:tcPr>
                  <w:tcW w:w="376"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29.3532</w:t>
                  </w:r>
                </w:p>
              </w:tc>
              <w:tc>
                <w:tcPr>
                  <w:tcW w:w="411"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4.5504</w:t>
                  </w:r>
                </w:p>
              </w:tc>
              <w:tc>
                <w:tcPr>
                  <w:tcW w:w="435"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北港河</w:t>
                  </w:r>
                </w:p>
              </w:tc>
              <w:tc>
                <w:tcPr>
                  <w:tcW w:w="459"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连续排放，流量稳定</w:t>
                  </w:r>
                </w:p>
              </w:tc>
              <w:tc>
                <w:tcPr>
                  <w:tcW w:w="347"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w:t>
                  </w:r>
                </w:p>
              </w:tc>
              <w:tc>
                <w:tcPr>
                  <w:tcW w:w="343"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北港河</w:t>
                  </w:r>
                </w:p>
              </w:tc>
              <w:tc>
                <w:tcPr>
                  <w:tcW w:w="456"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cs="宋体"/>
                      <w:sz w:val="21"/>
                      <w:szCs w:val="21"/>
                    </w:rPr>
                    <w:t>Ⅲ</w:t>
                  </w:r>
                  <w:r>
                    <w:rPr>
                      <w:rFonts w:ascii="Times New Roman" w:hAnsi="Times New Roman"/>
                      <w:sz w:val="21"/>
                      <w:szCs w:val="21"/>
                    </w:rPr>
                    <w:t>类</w:t>
                  </w:r>
                </w:p>
              </w:tc>
              <w:tc>
                <w:tcPr>
                  <w:tcW w:w="603"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113.1777</w:t>
                  </w:r>
                </w:p>
              </w:tc>
              <w:tc>
                <w:tcPr>
                  <w:tcW w:w="51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29.3538</w:t>
                  </w:r>
                </w:p>
              </w:tc>
              <w:tc>
                <w:tcPr>
                  <w:tcW w:w="209" w:type="pct"/>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w:t>
                  </w:r>
                </w:p>
              </w:tc>
            </w:tr>
          </w:tbl>
          <w:p>
            <w:pPr>
              <w:autoSpaceDE w:val="0"/>
              <w:autoSpaceDN w:val="0"/>
              <w:adjustRightInd w:val="0"/>
              <w:spacing w:line="276" w:lineRule="auto"/>
              <w:jc w:val="center"/>
              <w:rPr>
                <w:rFonts w:ascii="Times New Roman" w:hAnsi="Times New Roman"/>
                <w:b/>
                <w:bCs/>
              </w:rPr>
            </w:pPr>
            <w:r>
              <w:rPr>
                <w:rFonts w:hint="eastAsia" w:ascii="Times New Roman" w:hAnsi="Times New Roman"/>
                <w:b/>
                <w:bCs/>
              </w:rPr>
              <w:t>表7-1</w:t>
            </w:r>
            <w:r>
              <w:rPr>
                <w:rFonts w:ascii="Times New Roman" w:hAnsi="Times New Roman"/>
                <w:b/>
                <w:bCs/>
              </w:rPr>
              <w:t>4</w:t>
            </w:r>
            <w:r>
              <w:rPr>
                <w:rFonts w:hint="eastAsia" w:ascii="Times New Roman" w:hAnsi="Times New Roman"/>
                <w:b/>
                <w:bCs/>
              </w:rPr>
              <w:t xml:space="preserve">    废水污染物排放执行标准表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1301"/>
              <w:gridCol w:w="1809"/>
              <w:gridCol w:w="2688"/>
              <w:gridCol w:w="25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序号</w:t>
                  </w:r>
                </w:p>
              </w:tc>
              <w:tc>
                <w:tcPr>
                  <w:tcW w:w="1833"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3079"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7896" w:type="dxa"/>
                  <w:gridSpan w:val="2"/>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p>
              </w:tc>
              <w:tc>
                <w:tcPr>
                  <w:tcW w:w="1833"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p>
              </w:tc>
              <w:tc>
                <w:tcPr>
                  <w:tcW w:w="3079"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p>
              </w:tc>
              <w:tc>
                <w:tcPr>
                  <w:tcW w:w="3633" w:type="dxa"/>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名称</w:t>
                  </w:r>
                </w:p>
              </w:tc>
              <w:tc>
                <w:tcPr>
                  <w:tcW w:w="4263" w:type="dxa"/>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1</w:t>
                  </w:r>
                </w:p>
              </w:tc>
              <w:tc>
                <w:tcPr>
                  <w:tcW w:w="1833" w:type="dxa"/>
                  <w:vMerge w:val="restar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DW00</w:t>
                  </w:r>
                  <w:r>
                    <w:rPr>
                      <w:rFonts w:ascii="Times New Roman" w:hAnsi="Times New Roman"/>
                      <w:sz w:val="21"/>
                      <w:szCs w:val="21"/>
                    </w:rPr>
                    <w:t>4</w:t>
                  </w:r>
                </w:p>
              </w:tc>
              <w:tc>
                <w:tcPr>
                  <w:tcW w:w="3079"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w:t>
                  </w:r>
                </w:p>
              </w:tc>
              <w:tc>
                <w:tcPr>
                  <w:tcW w:w="3633" w:type="dxa"/>
                  <w:vMerge w:val="restar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《城镇污水处理厂污染物排放标准》（GB18918-2002）一级A标准</w:t>
                  </w:r>
                </w:p>
              </w:tc>
              <w:tc>
                <w:tcPr>
                  <w:tcW w:w="4263"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2</w:t>
                  </w:r>
                </w:p>
              </w:tc>
              <w:tc>
                <w:tcPr>
                  <w:tcW w:w="1833" w:type="dxa"/>
                  <w:vMerge w:val="continue"/>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p>
              </w:tc>
              <w:tc>
                <w:tcPr>
                  <w:tcW w:w="3079"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BOD</w:t>
                  </w:r>
                  <w:r>
                    <w:rPr>
                      <w:rFonts w:hint="eastAsia" w:ascii="Times New Roman" w:hAnsi="Times New Roman"/>
                      <w:sz w:val="21"/>
                      <w:szCs w:val="21"/>
                      <w:vertAlign w:val="subscript"/>
                    </w:rPr>
                    <w:t>5</w:t>
                  </w:r>
                </w:p>
              </w:tc>
              <w:tc>
                <w:tcPr>
                  <w:tcW w:w="3633" w:type="dxa"/>
                  <w:vMerge w:val="continue"/>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u w:val="single"/>
                    </w:rPr>
                  </w:pPr>
                </w:p>
              </w:tc>
              <w:tc>
                <w:tcPr>
                  <w:tcW w:w="4263"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3</w:t>
                  </w:r>
                </w:p>
              </w:tc>
              <w:tc>
                <w:tcPr>
                  <w:tcW w:w="1833"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3079"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w:t>
                  </w:r>
                </w:p>
              </w:tc>
              <w:tc>
                <w:tcPr>
                  <w:tcW w:w="3633" w:type="dxa"/>
                  <w:vMerge w:val="continue"/>
                  <w:vAlign w:val="center"/>
                </w:tcPr>
                <w:p>
                  <w:pPr>
                    <w:autoSpaceDE w:val="0"/>
                    <w:autoSpaceDN w:val="0"/>
                    <w:adjustRightInd w:val="0"/>
                    <w:spacing w:line="240" w:lineRule="auto"/>
                    <w:jc w:val="center"/>
                    <w:rPr>
                      <w:rFonts w:ascii="Times New Roman" w:hAnsi="Times New Roman"/>
                      <w:sz w:val="21"/>
                      <w:szCs w:val="21"/>
                      <w:u w:val="single"/>
                    </w:rPr>
                  </w:pPr>
                </w:p>
              </w:tc>
              <w:tc>
                <w:tcPr>
                  <w:tcW w:w="4263" w:type="dxa"/>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4</w:t>
                  </w:r>
                </w:p>
              </w:tc>
              <w:tc>
                <w:tcPr>
                  <w:tcW w:w="1833"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3079"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NH</w:t>
                  </w:r>
                  <w:r>
                    <w:rPr>
                      <w:rFonts w:hint="eastAsia" w:ascii="Times New Roman" w:hAnsi="Times New Roman"/>
                      <w:sz w:val="21"/>
                      <w:szCs w:val="21"/>
                      <w:vertAlign w:val="subscript"/>
                    </w:rPr>
                    <w:t>3</w:t>
                  </w:r>
                  <w:r>
                    <w:rPr>
                      <w:rFonts w:hint="eastAsia" w:ascii="Times New Roman" w:hAnsi="Times New Roman"/>
                      <w:sz w:val="21"/>
                      <w:szCs w:val="21"/>
                    </w:rPr>
                    <w:t>-N</w:t>
                  </w:r>
                </w:p>
              </w:tc>
              <w:tc>
                <w:tcPr>
                  <w:tcW w:w="3633" w:type="dxa"/>
                  <w:vMerge w:val="continue"/>
                  <w:vAlign w:val="center"/>
                </w:tcPr>
                <w:p>
                  <w:pPr>
                    <w:autoSpaceDE w:val="0"/>
                    <w:autoSpaceDN w:val="0"/>
                    <w:adjustRightInd w:val="0"/>
                    <w:spacing w:line="240" w:lineRule="auto"/>
                    <w:jc w:val="center"/>
                    <w:rPr>
                      <w:rFonts w:ascii="Times New Roman" w:hAnsi="Times New Roman"/>
                      <w:sz w:val="21"/>
                      <w:szCs w:val="21"/>
                      <w:u w:val="single"/>
                    </w:rPr>
                  </w:pPr>
                </w:p>
              </w:tc>
              <w:tc>
                <w:tcPr>
                  <w:tcW w:w="4263" w:type="dxa"/>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9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5</w:t>
                  </w:r>
                </w:p>
              </w:tc>
              <w:tc>
                <w:tcPr>
                  <w:tcW w:w="1833"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3079"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动植物油</w:t>
                  </w:r>
                </w:p>
              </w:tc>
              <w:tc>
                <w:tcPr>
                  <w:tcW w:w="3633" w:type="dxa"/>
                  <w:vMerge w:val="continue"/>
                  <w:vAlign w:val="center"/>
                </w:tcPr>
                <w:p>
                  <w:pPr>
                    <w:autoSpaceDE w:val="0"/>
                    <w:autoSpaceDN w:val="0"/>
                    <w:adjustRightInd w:val="0"/>
                    <w:spacing w:line="240" w:lineRule="auto"/>
                    <w:jc w:val="center"/>
                    <w:rPr>
                      <w:rFonts w:ascii="Times New Roman" w:hAnsi="Times New Roman"/>
                      <w:sz w:val="21"/>
                      <w:szCs w:val="21"/>
                      <w:u w:val="single"/>
                    </w:rPr>
                  </w:pPr>
                </w:p>
              </w:tc>
              <w:tc>
                <w:tcPr>
                  <w:tcW w:w="4263" w:type="dxa"/>
                  <w:vAlign w:val="center"/>
                </w:tcPr>
                <w:p>
                  <w:pPr>
                    <w:autoSpaceDE w:val="0"/>
                    <w:autoSpaceDN w:val="0"/>
                    <w:adjustRightInd w:val="0"/>
                    <w:spacing w:line="240" w:lineRule="auto"/>
                    <w:jc w:val="center"/>
                    <w:rPr>
                      <w:rFonts w:ascii="Times New Roman" w:hAnsi="Times New Roman"/>
                      <w:sz w:val="21"/>
                      <w:szCs w:val="21"/>
                      <w:u w:val="single"/>
                    </w:rPr>
                  </w:pPr>
                  <w:r>
                    <w:rPr>
                      <w:rFonts w:hint="eastAsia" w:ascii="Times New Roman" w:hAnsi="Times New Roman"/>
                      <w:sz w:val="21"/>
                      <w:szCs w:val="21"/>
                      <w:u w:val="single"/>
                    </w:rPr>
                    <w:t>1</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本项目废水污染物信息如下表所示：</w:t>
            </w:r>
          </w:p>
          <w:p>
            <w:pPr>
              <w:autoSpaceDE w:val="0"/>
              <w:autoSpaceDN w:val="0"/>
              <w:adjustRightInd w:val="0"/>
              <w:spacing w:before="156" w:beforeLines="50" w:line="276" w:lineRule="auto"/>
              <w:jc w:val="center"/>
              <w:rPr>
                <w:rFonts w:ascii="Times New Roman" w:hAnsi="Times New Roman"/>
                <w:b/>
                <w:bCs/>
              </w:rPr>
            </w:pPr>
            <w:r>
              <w:rPr>
                <w:rFonts w:hint="eastAsia" w:ascii="Times New Roman" w:hAnsi="Times New Roman"/>
                <w:b/>
                <w:bCs/>
              </w:rPr>
              <w:t>表7-1</w:t>
            </w:r>
            <w:r>
              <w:rPr>
                <w:rFonts w:ascii="Times New Roman" w:hAnsi="Times New Roman"/>
                <w:b/>
                <w:bCs/>
              </w:rPr>
              <w:t>5</w:t>
            </w:r>
            <w:r>
              <w:rPr>
                <w:rFonts w:hint="eastAsia" w:ascii="Times New Roman" w:hAnsi="Times New Roman"/>
                <w:b/>
                <w:bCs/>
              </w:rPr>
              <w:t xml:space="preserve">    废水污染物排放信息表(新建)</w:t>
            </w:r>
          </w:p>
          <w:tbl>
            <w:tblPr>
              <w:tblStyle w:val="23"/>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917"/>
              <w:gridCol w:w="1726"/>
              <w:gridCol w:w="1608"/>
              <w:gridCol w:w="1752"/>
              <w:gridCol w:w="23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序号</w:t>
                  </w:r>
                </w:p>
              </w:tc>
              <w:tc>
                <w:tcPr>
                  <w:tcW w:w="496"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934"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870"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排放浓度(mg/L)</w:t>
                  </w:r>
                </w:p>
              </w:tc>
              <w:tc>
                <w:tcPr>
                  <w:tcW w:w="948"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日排放量/(t/d)</w:t>
                  </w:r>
                </w:p>
              </w:tc>
              <w:tc>
                <w:tcPr>
                  <w:tcW w:w="1255" w:type="pc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1</w:t>
                  </w:r>
                </w:p>
              </w:tc>
              <w:tc>
                <w:tcPr>
                  <w:tcW w:w="496" w:type="pct"/>
                  <w:vMerge w:val="restar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DW00</w:t>
                  </w:r>
                  <w:r>
                    <w:rPr>
                      <w:rFonts w:ascii="Times New Roman" w:hAnsi="Times New Roman"/>
                      <w:sz w:val="21"/>
                      <w:szCs w:val="21"/>
                    </w:rPr>
                    <w:t>4</w:t>
                  </w:r>
                </w:p>
              </w:tc>
              <w:tc>
                <w:tcPr>
                  <w:tcW w:w="934"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w:t>
                  </w:r>
                </w:p>
              </w:tc>
              <w:tc>
                <w:tcPr>
                  <w:tcW w:w="870"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4</w:t>
                  </w:r>
                  <w:r>
                    <w:rPr>
                      <w:rFonts w:ascii="Times New Roman" w:hAnsi="Times New Roman"/>
                      <w:sz w:val="21"/>
                      <w:szCs w:val="21"/>
                    </w:rPr>
                    <w:t>6.98</w:t>
                  </w:r>
                </w:p>
              </w:tc>
              <w:tc>
                <w:tcPr>
                  <w:tcW w:w="948"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0107</w:t>
                  </w:r>
                </w:p>
              </w:tc>
              <w:tc>
                <w:tcPr>
                  <w:tcW w:w="1255"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2.13768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2</w:t>
                  </w:r>
                </w:p>
              </w:tc>
              <w:tc>
                <w:tcPr>
                  <w:tcW w:w="496"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93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BOD</w:t>
                  </w:r>
                  <w:r>
                    <w:rPr>
                      <w:rFonts w:hint="eastAsia" w:ascii="Times New Roman" w:hAnsi="Times New Roman"/>
                      <w:sz w:val="21"/>
                      <w:szCs w:val="21"/>
                      <w:vertAlign w:val="subscript"/>
                    </w:rPr>
                    <w:t>5</w:t>
                  </w:r>
                </w:p>
              </w:tc>
              <w:tc>
                <w:tcPr>
                  <w:tcW w:w="870"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8.93</w:t>
                  </w:r>
                </w:p>
              </w:tc>
              <w:tc>
                <w:tcPr>
                  <w:tcW w:w="948"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0.0</w:t>
                  </w:r>
                  <w:r>
                    <w:rPr>
                      <w:rFonts w:ascii="Times New Roman" w:hAnsi="Times New Roman"/>
                      <w:sz w:val="21"/>
                      <w:szCs w:val="21"/>
                    </w:rPr>
                    <w:t>020</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0.4062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3</w:t>
                  </w:r>
                </w:p>
              </w:tc>
              <w:tc>
                <w:tcPr>
                  <w:tcW w:w="496"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93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w:t>
                  </w:r>
                </w:p>
              </w:tc>
              <w:tc>
                <w:tcPr>
                  <w:tcW w:w="87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7</w:t>
                  </w:r>
                  <w:r>
                    <w:rPr>
                      <w:rFonts w:ascii="Times New Roman" w:hAnsi="Times New Roman"/>
                      <w:sz w:val="21"/>
                      <w:szCs w:val="21"/>
                    </w:rPr>
                    <w:t>.515</w:t>
                  </w:r>
                </w:p>
              </w:tc>
              <w:tc>
                <w:tcPr>
                  <w:tcW w:w="948"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0</w:t>
                  </w:r>
                  <w:r>
                    <w:rPr>
                      <w:rFonts w:hint="eastAsia" w:ascii="Times New Roman" w:hAnsi="Times New Roman"/>
                      <w:sz w:val="21"/>
                      <w:szCs w:val="21"/>
                    </w:rPr>
                    <w:t>017</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0.342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4</w:t>
                  </w:r>
                </w:p>
              </w:tc>
              <w:tc>
                <w:tcPr>
                  <w:tcW w:w="496"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93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NH</w:t>
                  </w:r>
                  <w:r>
                    <w:rPr>
                      <w:rFonts w:hint="eastAsia" w:ascii="Times New Roman" w:hAnsi="Times New Roman"/>
                      <w:sz w:val="21"/>
                      <w:szCs w:val="21"/>
                      <w:vertAlign w:val="subscript"/>
                    </w:rPr>
                    <w:t>3</w:t>
                  </w:r>
                  <w:r>
                    <w:rPr>
                      <w:rFonts w:hint="eastAsia" w:ascii="Times New Roman" w:hAnsi="Times New Roman"/>
                      <w:sz w:val="21"/>
                      <w:szCs w:val="21"/>
                    </w:rPr>
                    <w:t>-N</w:t>
                  </w:r>
                </w:p>
              </w:tc>
              <w:tc>
                <w:tcPr>
                  <w:tcW w:w="87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4.</w:t>
                  </w:r>
                  <w:r>
                    <w:rPr>
                      <w:rFonts w:ascii="Times New Roman" w:hAnsi="Times New Roman"/>
                      <w:sz w:val="21"/>
                      <w:szCs w:val="21"/>
                    </w:rPr>
                    <w:t>13</w:t>
                  </w:r>
                </w:p>
              </w:tc>
              <w:tc>
                <w:tcPr>
                  <w:tcW w:w="948"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0.0</w:t>
                  </w:r>
                  <w:r>
                    <w:rPr>
                      <w:rFonts w:ascii="Times New Roman" w:hAnsi="Times New Roman"/>
                      <w:sz w:val="21"/>
                      <w:szCs w:val="21"/>
                    </w:rPr>
                    <w:t>009</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0.1877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97"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5</w:t>
                  </w:r>
                </w:p>
              </w:tc>
              <w:tc>
                <w:tcPr>
                  <w:tcW w:w="496" w:type="pct"/>
                  <w:vMerge w:val="continue"/>
                  <w:vAlign w:val="center"/>
                </w:tcPr>
                <w:p>
                  <w:pPr>
                    <w:autoSpaceDE w:val="0"/>
                    <w:autoSpaceDN w:val="0"/>
                    <w:adjustRightInd w:val="0"/>
                    <w:spacing w:line="240" w:lineRule="auto"/>
                    <w:jc w:val="center"/>
                    <w:rPr>
                      <w:rFonts w:ascii="Times New Roman" w:hAnsi="Times New Roman"/>
                      <w:sz w:val="21"/>
                      <w:szCs w:val="21"/>
                    </w:rPr>
                  </w:pPr>
                </w:p>
              </w:tc>
              <w:tc>
                <w:tcPr>
                  <w:tcW w:w="934"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动植物油</w:t>
                  </w:r>
                </w:p>
              </w:tc>
              <w:tc>
                <w:tcPr>
                  <w:tcW w:w="870"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967</w:t>
                  </w:r>
                </w:p>
              </w:tc>
              <w:tc>
                <w:tcPr>
                  <w:tcW w:w="948" w:type="pc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0.00</w:t>
                  </w:r>
                  <w:r>
                    <w:rPr>
                      <w:rFonts w:ascii="Times New Roman" w:hAnsi="Times New Roman"/>
                      <w:sz w:val="21"/>
                      <w:szCs w:val="21"/>
                    </w:rPr>
                    <w:t>02</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0.044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3" w:type="pct"/>
                  <w:gridSpan w:val="2"/>
                  <w:vMerge w:val="restar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全厂排放口合计</w:t>
                  </w:r>
                </w:p>
              </w:tc>
              <w:tc>
                <w:tcPr>
                  <w:tcW w:w="2752" w:type="pct"/>
                  <w:gridSpan w:val="3"/>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w:t>
                  </w:r>
                </w:p>
              </w:tc>
              <w:tc>
                <w:tcPr>
                  <w:tcW w:w="1255" w:type="pc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2.13768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3" w:type="pct"/>
                  <w:gridSpan w:val="2"/>
                  <w:vMerge w:val="continue"/>
                  <w:vAlign w:val="center"/>
                </w:tcPr>
                <w:p>
                  <w:pPr>
                    <w:autoSpaceDE w:val="0"/>
                    <w:autoSpaceDN w:val="0"/>
                    <w:adjustRightInd w:val="0"/>
                    <w:spacing w:line="240" w:lineRule="auto"/>
                    <w:jc w:val="center"/>
                    <w:rPr>
                      <w:rFonts w:ascii="Times New Roman" w:hAnsi="Times New Roman"/>
                      <w:sz w:val="21"/>
                      <w:szCs w:val="21"/>
                    </w:rPr>
                  </w:pPr>
                </w:p>
              </w:tc>
              <w:tc>
                <w:tcPr>
                  <w:tcW w:w="2752" w:type="pct"/>
                  <w:gridSpan w:val="3"/>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BOD</w:t>
                  </w:r>
                  <w:r>
                    <w:rPr>
                      <w:rFonts w:hint="eastAsia" w:ascii="Times New Roman" w:hAnsi="Times New Roman"/>
                      <w:sz w:val="21"/>
                      <w:szCs w:val="21"/>
                      <w:vertAlign w:val="subscript"/>
                    </w:rPr>
                    <w:t>5</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0.4062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3" w:type="pct"/>
                  <w:gridSpan w:val="2"/>
                  <w:vMerge w:val="continue"/>
                  <w:vAlign w:val="center"/>
                </w:tcPr>
                <w:p>
                  <w:pPr>
                    <w:autoSpaceDE w:val="0"/>
                    <w:autoSpaceDN w:val="0"/>
                    <w:adjustRightInd w:val="0"/>
                    <w:spacing w:line="240" w:lineRule="auto"/>
                    <w:jc w:val="center"/>
                    <w:rPr>
                      <w:rFonts w:ascii="Times New Roman" w:hAnsi="Times New Roman"/>
                      <w:sz w:val="21"/>
                      <w:szCs w:val="21"/>
                    </w:rPr>
                  </w:pPr>
                </w:p>
              </w:tc>
              <w:tc>
                <w:tcPr>
                  <w:tcW w:w="2752" w:type="pct"/>
                  <w:gridSpan w:val="3"/>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SS</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0.342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3" w:type="pct"/>
                  <w:gridSpan w:val="2"/>
                  <w:vMerge w:val="continue"/>
                  <w:vAlign w:val="center"/>
                </w:tcPr>
                <w:p>
                  <w:pPr>
                    <w:autoSpaceDE w:val="0"/>
                    <w:autoSpaceDN w:val="0"/>
                    <w:adjustRightInd w:val="0"/>
                    <w:spacing w:line="240" w:lineRule="auto"/>
                    <w:jc w:val="center"/>
                    <w:rPr>
                      <w:rFonts w:ascii="Times New Roman" w:hAnsi="Times New Roman"/>
                      <w:sz w:val="21"/>
                      <w:szCs w:val="21"/>
                    </w:rPr>
                  </w:pPr>
                </w:p>
              </w:tc>
              <w:tc>
                <w:tcPr>
                  <w:tcW w:w="2752" w:type="pct"/>
                  <w:gridSpan w:val="3"/>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NH</w:t>
                  </w:r>
                  <w:r>
                    <w:rPr>
                      <w:rFonts w:hint="eastAsia" w:ascii="Times New Roman" w:hAnsi="Times New Roman"/>
                      <w:sz w:val="21"/>
                      <w:szCs w:val="21"/>
                      <w:vertAlign w:val="subscript"/>
                    </w:rPr>
                    <w:t>3</w:t>
                  </w:r>
                  <w:r>
                    <w:rPr>
                      <w:rFonts w:hint="eastAsia" w:ascii="Times New Roman" w:hAnsi="Times New Roman"/>
                      <w:sz w:val="21"/>
                      <w:szCs w:val="21"/>
                    </w:rPr>
                    <w:t>-N</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0.1877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3" w:type="pct"/>
                  <w:gridSpan w:val="2"/>
                  <w:vMerge w:val="continue"/>
                  <w:vAlign w:val="center"/>
                </w:tcPr>
                <w:p>
                  <w:pPr>
                    <w:autoSpaceDE w:val="0"/>
                    <w:autoSpaceDN w:val="0"/>
                    <w:adjustRightInd w:val="0"/>
                    <w:spacing w:line="240" w:lineRule="auto"/>
                    <w:jc w:val="center"/>
                    <w:rPr>
                      <w:rFonts w:ascii="Times New Roman" w:hAnsi="Times New Roman"/>
                      <w:sz w:val="21"/>
                      <w:szCs w:val="21"/>
                    </w:rPr>
                  </w:pPr>
                </w:p>
              </w:tc>
              <w:tc>
                <w:tcPr>
                  <w:tcW w:w="2752" w:type="pct"/>
                  <w:gridSpan w:val="3"/>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动植物油</w:t>
                  </w:r>
                </w:p>
              </w:tc>
              <w:tc>
                <w:tcPr>
                  <w:tcW w:w="1255" w:type="pct"/>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0.044</w:t>
                  </w:r>
                </w:p>
              </w:tc>
            </w:tr>
          </w:tbl>
          <w:p>
            <w:pPr>
              <w:tabs>
                <w:tab w:val="left" w:pos="210"/>
              </w:tabs>
              <w:spacing w:line="360" w:lineRule="auto"/>
              <w:ind w:firstLine="482" w:firstLineChars="200"/>
              <w:rPr>
                <w:rFonts w:ascii="Times New Roman" w:hAnsi="Times New Roman"/>
                <w:b/>
                <w:bCs/>
              </w:rPr>
            </w:pPr>
            <w:r>
              <w:rPr>
                <w:rFonts w:hint="eastAsia" w:ascii="Times New Roman" w:hAnsi="Times New Roman"/>
                <w:b/>
                <w:bCs/>
              </w:rPr>
              <w:t>污水管网接通污水处理厂之后</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（1）废水水量、水质特点</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如项目区域内污水管网已接通污水处理厂，则项目所产生的废水各自经预处理后排至罗家坡污水处理厂处理。</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本项目废水主要为生活污水、</w:t>
            </w:r>
            <w:r>
              <w:rPr>
                <w:rFonts w:hint="eastAsia" w:ascii="Times New Roman" w:hAnsi="Times New Roman" w:eastAsia="宋体" w:cs="Times New Roman"/>
                <w:color w:val="000000"/>
                <w:kern w:val="0"/>
                <w:szCs w:val="24"/>
                <w:lang w:bidi="ar"/>
              </w:rPr>
              <w:t>食堂</w:t>
            </w:r>
            <w:r>
              <w:rPr>
                <w:rFonts w:ascii="Times New Roman" w:hAnsi="Times New Roman" w:eastAsia="宋体" w:cs="Times New Roman"/>
                <w:color w:val="000000"/>
                <w:kern w:val="0"/>
                <w:szCs w:val="24"/>
                <w:lang w:bidi="ar"/>
              </w:rPr>
              <w:t>废水、</w:t>
            </w:r>
            <w:r>
              <w:rPr>
                <w:rFonts w:hint="eastAsia" w:ascii="Times New Roman" w:hAnsi="Times New Roman" w:eastAsia="宋体" w:cs="Times New Roman"/>
                <w:color w:val="000000"/>
                <w:kern w:val="0"/>
                <w:szCs w:val="24"/>
                <w:lang w:bidi="ar"/>
              </w:rPr>
              <w:t>实验室</w:t>
            </w:r>
            <w:r>
              <w:rPr>
                <w:rFonts w:ascii="Times New Roman" w:hAnsi="Times New Roman" w:eastAsia="宋体" w:cs="Times New Roman"/>
                <w:color w:val="000000"/>
                <w:kern w:val="0"/>
                <w:szCs w:val="24"/>
                <w:lang w:bidi="ar"/>
              </w:rPr>
              <w:t>废水，</w:t>
            </w:r>
            <w:r>
              <w:rPr>
                <w:rFonts w:hint="eastAsia" w:ascii="Times New Roman" w:hAnsi="Times New Roman" w:eastAsia="宋体" w:cs="Times New Roman"/>
                <w:color w:val="000000"/>
                <w:kern w:val="0"/>
                <w:szCs w:val="24"/>
                <w:lang w:bidi="ar"/>
              </w:rPr>
              <w:t>其排放</w:t>
            </w:r>
            <w:r>
              <w:rPr>
                <w:rFonts w:ascii="Times New Roman" w:hAnsi="Times New Roman" w:eastAsia="宋体" w:cs="Times New Roman"/>
                <w:color w:val="000000"/>
                <w:kern w:val="0"/>
                <w:szCs w:val="24"/>
                <w:lang w:bidi="ar"/>
              </w:rPr>
              <w:t>量</w:t>
            </w:r>
            <w:r>
              <w:rPr>
                <w:rFonts w:hint="eastAsia" w:ascii="Times New Roman" w:hAnsi="Times New Roman" w:eastAsia="宋体" w:cs="Times New Roman"/>
                <w:color w:val="000000"/>
                <w:kern w:val="0"/>
                <w:szCs w:val="24"/>
                <w:lang w:bidi="ar"/>
              </w:rPr>
              <w:t>共约</w:t>
            </w:r>
            <w:r>
              <w:rPr>
                <w:rFonts w:ascii="Times New Roman" w:hAnsi="Times New Roman" w:eastAsia="宋体" w:cs="Times New Roman"/>
                <w:color w:val="000000"/>
                <w:kern w:val="0"/>
                <w:szCs w:val="24"/>
                <w:lang w:bidi="ar"/>
              </w:rPr>
              <w:t>227.52</w:t>
            </w:r>
            <w:r>
              <w:rPr>
                <w:rFonts w:hint="eastAsia" w:ascii="Times New Roman" w:hAnsi="Times New Roman" w:eastAsia="宋体" w:cs="Times New Roman"/>
                <w:color w:val="000000"/>
                <w:kern w:val="0"/>
                <w:szCs w:val="24"/>
                <w:lang w:bidi="ar"/>
              </w:rPr>
              <w:t>m³</w:t>
            </w:r>
            <w:r>
              <w:rPr>
                <w:rFonts w:ascii="Times New Roman" w:hAnsi="Times New Roman" w:eastAsia="宋体" w:cs="Times New Roman"/>
                <w:color w:val="000000"/>
                <w:kern w:val="0"/>
                <w:szCs w:val="24"/>
                <w:lang w:bidi="ar"/>
              </w:rPr>
              <w:t>/d（45504</w:t>
            </w:r>
            <w:r>
              <w:rPr>
                <w:rFonts w:hint="eastAsia" w:ascii="Times New Roman" w:hAnsi="Times New Roman" w:eastAsia="宋体" w:cs="Times New Roman"/>
                <w:color w:val="000000"/>
                <w:kern w:val="0"/>
                <w:szCs w:val="24"/>
                <w:lang w:bidi="ar"/>
              </w:rPr>
              <w:t>m³</w:t>
            </w:r>
            <w:r>
              <w:rPr>
                <w:rFonts w:ascii="Times New Roman" w:hAnsi="Times New Roman" w:eastAsia="宋体" w:cs="Times New Roman"/>
                <w:color w:val="000000"/>
                <w:kern w:val="0"/>
                <w:szCs w:val="24"/>
                <w:lang w:bidi="ar"/>
              </w:rPr>
              <w:t>/a）</w:t>
            </w:r>
            <w:r>
              <w:rPr>
                <w:rFonts w:hint="eastAsia" w:ascii="Times New Roman" w:hAnsi="Times New Roman" w:eastAsia="宋体" w:cs="Times New Roman"/>
                <w:color w:val="000000"/>
                <w:kern w:val="0"/>
                <w:szCs w:val="24"/>
                <w:lang w:bidi="ar"/>
              </w:rPr>
              <w:t>。主要污染物为COD、BOD5、NH3-N、SS、动植物油等。</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（2）废水及污染防治设施信息</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项目废水及污染防治设施信息如下表所示：</w:t>
            </w:r>
          </w:p>
          <w:p>
            <w:pPr>
              <w:autoSpaceDE w:val="0"/>
              <w:autoSpaceDN w:val="0"/>
              <w:adjustRightInd w:val="0"/>
              <w:spacing w:line="276" w:lineRule="auto"/>
              <w:jc w:val="center"/>
              <w:rPr>
                <w:rFonts w:ascii="Times New Roman" w:hAnsi="Times New Roman"/>
                <w:b/>
                <w:bCs/>
              </w:rPr>
            </w:pPr>
            <w:r>
              <w:rPr>
                <w:rFonts w:hint="eastAsia" w:ascii="Times New Roman" w:hAnsi="Times New Roman"/>
                <w:b/>
                <w:bCs/>
              </w:rPr>
              <w:t>表7-1</w:t>
            </w:r>
            <w:r>
              <w:rPr>
                <w:rFonts w:ascii="Times New Roman" w:hAnsi="Times New Roman"/>
                <w:b/>
                <w:bCs/>
              </w:rPr>
              <w:t xml:space="preserve">6 </w:t>
            </w:r>
            <w:r>
              <w:rPr>
                <w:rFonts w:hint="eastAsia" w:ascii="Times New Roman" w:hAnsi="Times New Roman"/>
                <w:b/>
                <w:bCs/>
              </w:rPr>
              <w:t xml:space="preserve">  废水类别、污染物及污染治理设施信息表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60"/>
              <w:gridCol w:w="1033"/>
              <w:gridCol w:w="1228"/>
              <w:gridCol w:w="760"/>
              <w:gridCol w:w="695"/>
              <w:gridCol w:w="673"/>
              <w:gridCol w:w="929"/>
              <w:gridCol w:w="881"/>
              <w:gridCol w:w="784"/>
              <w:gridCol w:w="17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废水类别</w:t>
                  </w:r>
                </w:p>
              </w:tc>
              <w:tc>
                <w:tcPr>
                  <w:tcW w:w="1033"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1228"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排放去向</w:t>
                  </w:r>
                </w:p>
              </w:tc>
              <w:tc>
                <w:tcPr>
                  <w:tcW w:w="760"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排放规律</w:t>
                  </w:r>
                </w:p>
              </w:tc>
              <w:tc>
                <w:tcPr>
                  <w:tcW w:w="2297" w:type="dxa"/>
                  <w:gridSpan w:val="3"/>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w:t>
                  </w:r>
                </w:p>
              </w:tc>
              <w:tc>
                <w:tcPr>
                  <w:tcW w:w="881"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784"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排放口设置是否符合要求</w:t>
                  </w:r>
                </w:p>
              </w:tc>
              <w:tc>
                <w:tcPr>
                  <w:tcW w:w="1788" w:type="dxa"/>
                  <w:vMerge w:val="restart"/>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033"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228"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760"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695" w:type="dxa"/>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污染治理设施编号</w:t>
                  </w:r>
                </w:p>
              </w:tc>
              <w:tc>
                <w:tcPr>
                  <w:tcW w:w="673" w:type="dxa"/>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污染治理设施名称</w:t>
                  </w:r>
                </w:p>
              </w:tc>
              <w:tc>
                <w:tcPr>
                  <w:tcW w:w="929" w:type="dxa"/>
                  <w:tcBorders>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污染治理设施工艺</w:t>
                  </w:r>
                </w:p>
              </w:tc>
              <w:tc>
                <w:tcPr>
                  <w:tcW w:w="881"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784"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788" w:type="dxa"/>
                  <w:vMerge w:val="continue"/>
                  <w:tcBorders>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bookmarkStart w:id="77" w:name="_Hlk33084290"/>
                  <w:r>
                    <w:rPr>
                      <w:rFonts w:hint="eastAsia" w:ascii="Times New Roman" w:hAnsi="Times New Roman"/>
                      <w:sz w:val="21"/>
                      <w:szCs w:val="21"/>
                    </w:rPr>
                    <w:t>生活污水</w:t>
                  </w:r>
                </w:p>
              </w:tc>
              <w:tc>
                <w:tcPr>
                  <w:tcW w:w="1033"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1228"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预处理后经污水管网进入罗家坡污水</w:t>
                  </w:r>
                  <w:r>
                    <w:rPr>
                      <w:rFonts w:ascii="Times New Roman" w:hAnsi="Times New Roman"/>
                      <w:sz w:val="21"/>
                      <w:szCs w:val="21"/>
                    </w:rPr>
                    <w:t>处理厂</w:t>
                  </w:r>
                </w:p>
              </w:tc>
              <w:tc>
                <w:tcPr>
                  <w:tcW w:w="760"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695"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673"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化粪池</w:t>
                  </w:r>
                </w:p>
              </w:tc>
              <w:tc>
                <w:tcPr>
                  <w:tcW w:w="929"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881"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DW001</w:t>
                  </w:r>
                </w:p>
              </w:tc>
              <w:tc>
                <w:tcPr>
                  <w:tcW w:w="784" w:type="dxa"/>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sz w:val="21"/>
                      <w:szCs w:val="21"/>
                    </w:rPr>
                  </w:pP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788" w:type="dxa"/>
                  <w:tcBorders>
                    <w:top w:val="single" w:color="auto" w:sz="12" w:space="0"/>
                    <w:bottom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 xml:space="preserve">□企业总排  </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A3"/>
                  </w:r>
                  <w:r>
                    <w:rPr>
                      <w:rFonts w:hint="eastAsia" w:ascii="Times New Roman" w:hAnsi="Times New Roman"/>
                      <w:sz w:val="21"/>
                      <w:szCs w:val="21"/>
                    </w:rPr>
                    <w:t>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☑车间或车间处理设施排放</w:t>
                  </w:r>
                </w:p>
              </w:tc>
            </w:tr>
            <w:bookmarkEnd w:id="77"/>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食堂污水</w:t>
                  </w:r>
                </w:p>
              </w:tc>
              <w:tc>
                <w:tcPr>
                  <w:tcW w:w="1033"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1228"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预处理后经污水管网进入罗家坡污水</w:t>
                  </w:r>
                  <w:r>
                    <w:rPr>
                      <w:rFonts w:ascii="Times New Roman" w:hAnsi="Times New Roman"/>
                      <w:sz w:val="21"/>
                      <w:szCs w:val="21"/>
                    </w:rPr>
                    <w:t>处理厂</w:t>
                  </w:r>
                </w:p>
              </w:tc>
              <w:tc>
                <w:tcPr>
                  <w:tcW w:w="760"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695"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673"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隔油沉淀池+化粪池</w:t>
                  </w:r>
                </w:p>
              </w:tc>
              <w:tc>
                <w:tcPr>
                  <w:tcW w:w="929"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881"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DW002</w:t>
                  </w:r>
                </w:p>
              </w:tc>
              <w:tc>
                <w:tcPr>
                  <w:tcW w:w="784" w:type="dxa"/>
                  <w:tcBorders>
                    <w:top w:val="single" w:color="auto" w:sz="4" w:space="0"/>
                  </w:tcBorders>
                  <w:vAlign w:val="center"/>
                </w:tcPr>
                <w:p>
                  <w:pPr>
                    <w:autoSpaceDE w:val="0"/>
                    <w:autoSpaceDN w:val="0"/>
                    <w:adjustRightInd w:val="0"/>
                    <w:spacing w:line="240" w:lineRule="auto"/>
                    <w:jc w:val="center"/>
                    <w:rPr>
                      <w:rFonts w:ascii="Times New Roman" w:hAnsi="Times New Roman"/>
                      <w:sz w:val="21"/>
                      <w:szCs w:val="21"/>
                    </w:rPr>
                  </w:pP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788" w:type="dxa"/>
                  <w:tcBorders>
                    <w:top w:val="single" w:color="auto" w:sz="4" w:space="0"/>
                  </w:tcBorders>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 xml:space="preserve">□企业总排  </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A3"/>
                  </w:r>
                  <w:r>
                    <w:rPr>
                      <w:rFonts w:hint="eastAsia" w:ascii="Times New Roman" w:hAnsi="Times New Roman"/>
                      <w:sz w:val="21"/>
                      <w:szCs w:val="21"/>
                    </w:rPr>
                    <w:t>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☑车间或车间处理设施排放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实验室污水</w:t>
                  </w:r>
                </w:p>
              </w:tc>
              <w:tc>
                <w:tcPr>
                  <w:tcW w:w="1033"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w:t>
                  </w:r>
                </w:p>
              </w:tc>
              <w:tc>
                <w:tcPr>
                  <w:tcW w:w="1228"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预处理后经污水管网进入罗家坡污水</w:t>
                  </w:r>
                  <w:r>
                    <w:rPr>
                      <w:rFonts w:ascii="Times New Roman" w:hAnsi="Times New Roman"/>
                      <w:sz w:val="21"/>
                      <w:szCs w:val="21"/>
                    </w:rPr>
                    <w:t>处理厂</w:t>
                  </w:r>
                </w:p>
              </w:tc>
              <w:tc>
                <w:tcPr>
                  <w:tcW w:w="760"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695"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673"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实验室污水处理设施池+化粪池</w:t>
                  </w:r>
                </w:p>
              </w:tc>
              <w:tc>
                <w:tcPr>
                  <w:tcW w:w="929" w:type="dxa"/>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w:t>
                  </w:r>
                </w:p>
              </w:tc>
              <w:tc>
                <w:tcPr>
                  <w:tcW w:w="881" w:type="dxa"/>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DW003</w:t>
                  </w:r>
                </w:p>
              </w:tc>
              <w:tc>
                <w:tcPr>
                  <w:tcW w:w="784" w:type="dxa"/>
                  <w:vAlign w:val="center"/>
                </w:tcPr>
                <w:p>
                  <w:pPr>
                    <w:autoSpaceDE w:val="0"/>
                    <w:autoSpaceDN w:val="0"/>
                    <w:adjustRightInd w:val="0"/>
                    <w:spacing w:line="240" w:lineRule="auto"/>
                    <w:jc w:val="center"/>
                    <w:rPr>
                      <w:rFonts w:ascii="Times New Roman" w:hAnsi="Times New Roman"/>
                      <w:sz w:val="21"/>
                      <w:szCs w:val="21"/>
                    </w:rPr>
                  </w:pP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788" w:type="dxa"/>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 xml:space="preserve">□企业总排  </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A3"/>
                  </w:r>
                  <w:r>
                    <w:rPr>
                      <w:rFonts w:hint="eastAsia" w:ascii="Times New Roman" w:hAnsi="Times New Roman"/>
                      <w:sz w:val="21"/>
                      <w:szCs w:val="21"/>
                    </w:rPr>
                    <w:t>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☑车间或车间处理设施排放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0"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综合废水</w:t>
                  </w:r>
                </w:p>
              </w:tc>
              <w:tc>
                <w:tcPr>
                  <w:tcW w:w="1033"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CODcr、BOD</w:t>
                  </w:r>
                  <w:r>
                    <w:rPr>
                      <w:rFonts w:hint="eastAsia" w:ascii="Times New Roman" w:hAnsi="Times New Roman"/>
                      <w:sz w:val="21"/>
                      <w:szCs w:val="21"/>
                      <w:vertAlign w:val="subscript"/>
                    </w:rPr>
                    <w:t>5</w:t>
                  </w:r>
                  <w:r>
                    <w:rPr>
                      <w:rFonts w:hint="eastAsia" w:ascii="Times New Roman" w:hAnsi="Times New Roman"/>
                      <w:sz w:val="21"/>
                      <w:szCs w:val="21"/>
                    </w:rPr>
                    <w:t>、SS、NH</w:t>
                  </w:r>
                  <w:r>
                    <w:rPr>
                      <w:rFonts w:hint="eastAsia" w:ascii="Times New Roman" w:hAnsi="Times New Roman"/>
                      <w:sz w:val="21"/>
                      <w:szCs w:val="21"/>
                      <w:vertAlign w:val="subscript"/>
                    </w:rPr>
                    <w:t>3</w:t>
                  </w:r>
                  <w:r>
                    <w:rPr>
                      <w:rFonts w:hint="eastAsia" w:ascii="Times New Roman" w:hAnsi="Times New Roman"/>
                      <w:sz w:val="21"/>
                      <w:szCs w:val="21"/>
                    </w:rPr>
                    <w:t>-N、动植物油</w:t>
                  </w:r>
                </w:p>
              </w:tc>
              <w:tc>
                <w:tcPr>
                  <w:tcW w:w="1228"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预处理后经污水管网进入罗家坡污水</w:t>
                  </w:r>
                  <w:r>
                    <w:rPr>
                      <w:rFonts w:ascii="Times New Roman" w:hAnsi="Times New Roman"/>
                      <w:sz w:val="21"/>
                      <w:szCs w:val="21"/>
                    </w:rPr>
                    <w:t>处理厂</w:t>
                  </w:r>
                </w:p>
              </w:tc>
              <w:tc>
                <w:tcPr>
                  <w:tcW w:w="760"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695"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673"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污水处理站</w:t>
                  </w:r>
                </w:p>
              </w:tc>
              <w:tc>
                <w:tcPr>
                  <w:tcW w:w="929" w:type="dxa"/>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MBR</w:t>
                  </w:r>
                </w:p>
              </w:tc>
              <w:tc>
                <w:tcPr>
                  <w:tcW w:w="881" w:type="dxa"/>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DW004</w:t>
                  </w:r>
                </w:p>
              </w:tc>
              <w:tc>
                <w:tcPr>
                  <w:tcW w:w="784" w:type="dxa"/>
                  <w:vAlign w:val="center"/>
                </w:tcPr>
                <w:p>
                  <w:pPr>
                    <w:autoSpaceDE w:val="0"/>
                    <w:autoSpaceDN w:val="0"/>
                    <w:adjustRightInd w:val="0"/>
                    <w:spacing w:line="240" w:lineRule="auto"/>
                    <w:jc w:val="center"/>
                    <w:rPr>
                      <w:rFonts w:ascii="Times New Roman" w:hAnsi="Times New Roman"/>
                      <w:sz w:val="21"/>
                      <w:szCs w:val="21"/>
                    </w:rPr>
                  </w:pP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☑是</w:t>
                  </w:r>
                </w:p>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□否</w:t>
                  </w:r>
                </w:p>
              </w:tc>
              <w:tc>
                <w:tcPr>
                  <w:tcW w:w="1788" w:type="dxa"/>
                  <w:vAlign w:val="center"/>
                </w:tcPr>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 xml:space="preserve">☑企业总排  </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sym w:font="Wingdings 2" w:char="00A3"/>
                  </w:r>
                  <w:r>
                    <w:rPr>
                      <w:rFonts w:hint="eastAsia" w:ascii="Times New Roman" w:hAnsi="Times New Roman"/>
                      <w:sz w:val="21"/>
                      <w:szCs w:val="21"/>
                    </w:rPr>
                    <w:t>雨水排放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□清净下水排放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□温排水排放</w:t>
                  </w:r>
                </w:p>
                <w:p>
                  <w:pPr>
                    <w:autoSpaceDE w:val="0"/>
                    <w:autoSpaceDN w:val="0"/>
                    <w:adjustRightInd w:val="0"/>
                    <w:spacing w:line="240" w:lineRule="auto"/>
                    <w:rPr>
                      <w:rFonts w:ascii="Times New Roman" w:hAnsi="Times New Roman"/>
                      <w:sz w:val="21"/>
                      <w:szCs w:val="21"/>
                    </w:rPr>
                  </w:pPr>
                  <w:r>
                    <w:rPr>
                      <w:rFonts w:hint="eastAsia" w:ascii="Times New Roman" w:hAnsi="Times New Roman"/>
                      <w:sz w:val="21"/>
                      <w:szCs w:val="21"/>
                    </w:rPr>
                    <w:t>□车间或车间处理设施排放</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（3）废水排放口基本情况</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本项目废水经预处理后经污水管网进入罗家坡污水处理厂处理，属于间接排放。本项目废水间接排放口基本情况如下表所示：</w:t>
            </w:r>
          </w:p>
          <w:p>
            <w:pPr>
              <w:autoSpaceDE w:val="0"/>
              <w:autoSpaceDN w:val="0"/>
              <w:adjustRightInd w:val="0"/>
              <w:jc w:val="center"/>
              <w:rPr>
                <w:rFonts w:ascii="Times New Roman" w:hAnsi="Times New Roman"/>
                <w:b/>
                <w:bCs/>
              </w:rPr>
            </w:pPr>
            <w:r>
              <w:rPr>
                <w:rFonts w:hint="eastAsia" w:ascii="Times New Roman" w:hAnsi="Times New Roman"/>
                <w:b/>
                <w:bCs/>
              </w:rPr>
              <w:t>表7-</w:t>
            </w:r>
            <w:r>
              <w:rPr>
                <w:rFonts w:ascii="Times New Roman" w:hAnsi="Times New Roman"/>
                <w:b/>
                <w:bCs/>
              </w:rPr>
              <w:t xml:space="preserve">17 </w:t>
            </w:r>
            <w:r>
              <w:rPr>
                <w:rFonts w:hint="eastAsia" w:ascii="Times New Roman" w:hAnsi="Times New Roman"/>
                <w:b/>
                <w:bCs/>
              </w:rPr>
              <w:t xml:space="preserve"> 废水间接排放口基本情况表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996"/>
              <w:gridCol w:w="899"/>
              <w:gridCol w:w="899"/>
              <w:gridCol w:w="1070"/>
              <w:gridCol w:w="799"/>
              <w:gridCol w:w="685"/>
              <w:gridCol w:w="686"/>
              <w:gridCol w:w="1087"/>
              <w:gridCol w:w="123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restart"/>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1694" w:type="dxa"/>
                  <w:gridSpan w:val="2"/>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排放口地理坐标</w:t>
                  </w:r>
                </w:p>
              </w:tc>
              <w:tc>
                <w:tcPr>
                  <w:tcW w:w="935" w:type="dxa"/>
                  <w:vMerge w:val="restart"/>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废水排放量/(万t/a)</w:t>
                  </w:r>
                </w:p>
              </w:tc>
              <w:tc>
                <w:tcPr>
                  <w:tcW w:w="1290" w:type="dxa"/>
                  <w:vMerge w:val="restart"/>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排放去向</w:t>
                  </w:r>
                </w:p>
              </w:tc>
              <w:tc>
                <w:tcPr>
                  <w:tcW w:w="855" w:type="dxa"/>
                  <w:vMerge w:val="restart"/>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排放规律</w:t>
                  </w:r>
                </w:p>
              </w:tc>
              <w:tc>
                <w:tcPr>
                  <w:tcW w:w="774" w:type="dxa"/>
                  <w:vMerge w:val="restart"/>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间歇排放时段</w:t>
                  </w:r>
                </w:p>
              </w:tc>
              <w:tc>
                <w:tcPr>
                  <w:tcW w:w="3310" w:type="dxa"/>
                  <w:gridSpan w:val="3"/>
                  <w:tcBorders>
                    <w:top w:val="single" w:color="auto" w:sz="12" w:space="0"/>
                    <w:bottom w:val="single" w:color="auto" w:sz="4"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受纳污水处理厂信息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continue"/>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p>
              </w:tc>
              <w:tc>
                <w:tcPr>
                  <w:tcW w:w="807" w:type="dxa"/>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经度</w:t>
                  </w:r>
                </w:p>
              </w:tc>
              <w:tc>
                <w:tcPr>
                  <w:tcW w:w="887" w:type="dxa"/>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纬度</w:t>
                  </w:r>
                </w:p>
              </w:tc>
              <w:tc>
                <w:tcPr>
                  <w:tcW w:w="935" w:type="dxa"/>
                  <w:vMerge w:val="continue"/>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p>
              </w:tc>
              <w:tc>
                <w:tcPr>
                  <w:tcW w:w="1290" w:type="dxa"/>
                  <w:vMerge w:val="continue"/>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p>
              </w:tc>
              <w:tc>
                <w:tcPr>
                  <w:tcW w:w="855" w:type="dxa"/>
                  <w:vMerge w:val="continue"/>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p>
              </w:tc>
              <w:tc>
                <w:tcPr>
                  <w:tcW w:w="774" w:type="dxa"/>
                  <w:vMerge w:val="continue"/>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p>
              </w:tc>
              <w:tc>
                <w:tcPr>
                  <w:tcW w:w="775" w:type="dxa"/>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名称</w:t>
                  </w:r>
                </w:p>
              </w:tc>
              <w:tc>
                <w:tcPr>
                  <w:tcW w:w="1177" w:type="dxa"/>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1358" w:type="dxa"/>
                  <w:tcBorders>
                    <w:top w:val="single" w:color="auto" w:sz="4" w:space="0"/>
                    <w:bottom w:val="single" w:color="auto" w:sz="12" w:space="0"/>
                  </w:tcBorders>
                  <w:vAlign w:val="center"/>
                </w:tcPr>
                <w:p>
                  <w:pPr>
                    <w:autoSpaceDE w:val="0"/>
                    <w:autoSpaceDN w:val="0"/>
                    <w:adjustRightInd w:val="0"/>
                    <w:spacing w:line="276" w:lineRule="auto"/>
                    <w:jc w:val="center"/>
                    <w:rPr>
                      <w:rFonts w:ascii="Times New Roman" w:hAnsi="Times New Roman"/>
                      <w:b/>
                      <w:bCs/>
                      <w:sz w:val="21"/>
                      <w:szCs w:val="21"/>
                    </w:rPr>
                  </w:pPr>
                  <w:r>
                    <w:rPr>
                      <w:rFonts w:hint="eastAsia" w:ascii="Times New Roman" w:hAnsi="Times New Roman"/>
                      <w:b/>
                      <w:bCs/>
                      <w:sz w:val="21"/>
                      <w:szCs w:val="21"/>
                    </w:rPr>
                    <w:t>国家或地方污染物放标准浓度限值/(mg/L)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ascii="Times New Roman" w:hAnsi="Times New Roman"/>
                      <w:sz w:val="21"/>
                      <w:szCs w:val="21"/>
                    </w:rPr>
                    <w:t>DW004</w:t>
                  </w:r>
                </w:p>
              </w:tc>
              <w:tc>
                <w:tcPr>
                  <w:tcW w:w="807"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113.2100</w:t>
                  </w:r>
                </w:p>
              </w:tc>
              <w:tc>
                <w:tcPr>
                  <w:tcW w:w="887"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29.3415</w:t>
                  </w:r>
                </w:p>
              </w:tc>
              <w:tc>
                <w:tcPr>
                  <w:tcW w:w="935"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ascii="Times New Roman" w:hAnsi="Times New Roman"/>
                      <w:sz w:val="21"/>
                      <w:szCs w:val="21"/>
                    </w:rPr>
                    <w:t>4.5504</w:t>
                  </w:r>
                </w:p>
              </w:tc>
              <w:tc>
                <w:tcPr>
                  <w:tcW w:w="1290"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经污水管网进入罗家坡污水处理厂</w:t>
                  </w:r>
                  <w:r>
                    <w:rPr>
                      <w:rFonts w:ascii="Times New Roman" w:hAnsi="Times New Roman"/>
                      <w:sz w:val="21"/>
                      <w:szCs w:val="21"/>
                    </w:rPr>
                    <w:t>处理</w:t>
                  </w:r>
                </w:p>
              </w:tc>
              <w:tc>
                <w:tcPr>
                  <w:tcW w:w="855"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连续排放，流量稳定</w:t>
                  </w:r>
                </w:p>
              </w:tc>
              <w:tc>
                <w:tcPr>
                  <w:tcW w:w="774"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w:t>
                  </w:r>
                </w:p>
              </w:tc>
              <w:tc>
                <w:tcPr>
                  <w:tcW w:w="775" w:type="dxa"/>
                  <w:vMerge w:val="restart"/>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罗家坡污水处理厂</w:t>
                  </w:r>
                </w:p>
              </w:tc>
              <w:tc>
                <w:tcPr>
                  <w:tcW w:w="1177" w:type="dxa"/>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CODcr</w:t>
                  </w:r>
                </w:p>
              </w:tc>
              <w:tc>
                <w:tcPr>
                  <w:tcW w:w="1358" w:type="dxa"/>
                  <w:tcBorders>
                    <w:top w:val="single" w:color="auto" w:sz="12" w:space="0"/>
                  </w:tcBorders>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0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8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93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290"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5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4"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177"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BOD</w:t>
                  </w:r>
                  <w:r>
                    <w:rPr>
                      <w:rFonts w:hint="eastAsia" w:ascii="Times New Roman" w:hAnsi="Times New Roman"/>
                      <w:sz w:val="21"/>
                      <w:szCs w:val="21"/>
                      <w:vertAlign w:val="subscript"/>
                    </w:rPr>
                    <w:t>5</w:t>
                  </w:r>
                </w:p>
              </w:tc>
              <w:tc>
                <w:tcPr>
                  <w:tcW w:w="1358"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0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8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93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290"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5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4"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177"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SS</w:t>
                  </w:r>
                </w:p>
              </w:tc>
              <w:tc>
                <w:tcPr>
                  <w:tcW w:w="1358"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0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8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93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290"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5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4"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177"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NH</w:t>
                  </w:r>
                  <w:r>
                    <w:rPr>
                      <w:rFonts w:hint="eastAsia" w:ascii="Times New Roman" w:hAnsi="Times New Roman"/>
                      <w:sz w:val="21"/>
                      <w:szCs w:val="21"/>
                      <w:vertAlign w:val="subscript"/>
                    </w:rPr>
                    <w:t>3</w:t>
                  </w:r>
                  <w:r>
                    <w:rPr>
                      <w:rFonts w:hint="eastAsia" w:ascii="Times New Roman" w:hAnsi="Times New Roman"/>
                      <w:sz w:val="21"/>
                      <w:szCs w:val="21"/>
                    </w:rPr>
                    <w:t>-N</w:t>
                  </w:r>
                </w:p>
              </w:tc>
              <w:tc>
                <w:tcPr>
                  <w:tcW w:w="1358" w:type="dxa"/>
                  <w:vAlign w:val="center"/>
                </w:tcPr>
                <w:p>
                  <w:pPr>
                    <w:autoSpaceDE w:val="0"/>
                    <w:autoSpaceDN w:val="0"/>
                    <w:adjustRightInd w:val="0"/>
                    <w:spacing w:line="276" w:lineRule="auto"/>
                    <w:jc w:val="center"/>
                    <w:rPr>
                      <w:rFonts w:ascii="Times New Roman" w:hAnsi="Times New Roman"/>
                      <w:sz w:val="21"/>
                      <w:szCs w:val="21"/>
                    </w:rPr>
                  </w:pPr>
                  <w:r>
                    <w:rPr>
                      <w:rFonts w:ascii="Times New Roman" w:hAnsi="Times New Roman"/>
                      <w:sz w:val="21"/>
                      <w:szCs w:val="21"/>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6"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0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87"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93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290"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85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4"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775" w:type="dxa"/>
                  <w:vMerge w:val="continue"/>
                  <w:vAlign w:val="center"/>
                </w:tcPr>
                <w:p>
                  <w:pPr>
                    <w:autoSpaceDE w:val="0"/>
                    <w:autoSpaceDN w:val="0"/>
                    <w:adjustRightInd w:val="0"/>
                    <w:spacing w:line="276" w:lineRule="auto"/>
                    <w:jc w:val="center"/>
                    <w:rPr>
                      <w:rFonts w:ascii="Times New Roman" w:hAnsi="Times New Roman"/>
                      <w:sz w:val="21"/>
                      <w:szCs w:val="21"/>
                    </w:rPr>
                  </w:pPr>
                </w:p>
              </w:tc>
              <w:tc>
                <w:tcPr>
                  <w:tcW w:w="1177"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动植物油</w:t>
                  </w:r>
                </w:p>
              </w:tc>
              <w:tc>
                <w:tcPr>
                  <w:tcW w:w="1358" w:type="dxa"/>
                  <w:vAlign w:val="center"/>
                </w:tcPr>
                <w:p>
                  <w:pPr>
                    <w:autoSpaceDE w:val="0"/>
                    <w:autoSpaceDN w:val="0"/>
                    <w:adjustRightInd w:val="0"/>
                    <w:spacing w:line="276" w:lineRule="auto"/>
                    <w:jc w:val="center"/>
                    <w:rPr>
                      <w:rFonts w:ascii="Times New Roman" w:hAnsi="Times New Roman"/>
                      <w:sz w:val="21"/>
                      <w:szCs w:val="21"/>
                    </w:rPr>
                  </w:pPr>
                  <w:r>
                    <w:rPr>
                      <w:rFonts w:hint="eastAsia" w:ascii="Times New Roman" w:hAnsi="Times New Roman"/>
                      <w:sz w:val="21"/>
                      <w:szCs w:val="21"/>
                    </w:rPr>
                    <w:t>1</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（5）废水污染物排放信息</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本项目废水污染物信息如下表所示：</w:t>
            </w:r>
          </w:p>
          <w:p>
            <w:pPr>
              <w:autoSpaceDE w:val="0"/>
              <w:autoSpaceDN w:val="0"/>
              <w:adjustRightInd w:val="0"/>
              <w:jc w:val="center"/>
              <w:rPr>
                <w:rFonts w:ascii="Times New Roman" w:hAnsi="Times New Roman"/>
                <w:b/>
                <w:bCs/>
              </w:rPr>
            </w:pPr>
            <w:r>
              <w:rPr>
                <w:rFonts w:hint="eastAsia" w:ascii="Times New Roman" w:hAnsi="Times New Roman"/>
                <w:b/>
                <w:bCs/>
              </w:rPr>
              <w:t>表7-</w:t>
            </w:r>
            <w:r>
              <w:rPr>
                <w:rFonts w:ascii="Times New Roman" w:hAnsi="Times New Roman"/>
                <w:b/>
                <w:bCs/>
              </w:rPr>
              <w:t>18</w:t>
            </w:r>
            <w:r>
              <w:rPr>
                <w:rFonts w:hint="eastAsia" w:ascii="Times New Roman" w:hAnsi="Times New Roman"/>
                <w:b/>
                <w:bCs/>
              </w:rPr>
              <w:t xml:space="preserve">  废水污染物排放信息表</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956"/>
              <w:gridCol w:w="1948"/>
              <w:gridCol w:w="2365"/>
              <w:gridCol w:w="18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99" w:type="dxa"/>
                  <w:vMerge w:val="restar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排放口编号</w:t>
                  </w:r>
                </w:p>
              </w:tc>
              <w:tc>
                <w:tcPr>
                  <w:tcW w:w="1956" w:type="dxa"/>
                  <w:vMerge w:val="restar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污染物种类</w:t>
                  </w:r>
                </w:p>
              </w:tc>
              <w:tc>
                <w:tcPr>
                  <w:tcW w:w="1948" w:type="dxa"/>
                  <w:vMerge w:val="restar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排放浓度/(mg/L)</w:t>
                  </w:r>
                </w:p>
              </w:tc>
              <w:tc>
                <w:tcPr>
                  <w:tcW w:w="2365" w:type="dxa"/>
                  <w:vMerge w:val="restar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日排放量/(t/d)</w:t>
                  </w:r>
                </w:p>
              </w:tc>
              <w:tc>
                <w:tcPr>
                  <w:tcW w:w="1803" w:type="dxa"/>
                  <w:vMerge w:val="restart"/>
                  <w:tcBorders>
                    <w:top w:val="single" w:color="auto" w:sz="12"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99"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956"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948"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2365"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c>
                <w:tcPr>
                  <w:tcW w:w="1803"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restart"/>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c>
                <w:tcPr>
                  <w:tcW w:w="1956" w:type="dxa"/>
                  <w:tcBorders>
                    <w:top w:val="single" w:color="auto" w:sz="12"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COD</w:t>
                  </w:r>
                </w:p>
              </w:tc>
              <w:tc>
                <w:tcPr>
                  <w:tcW w:w="1948" w:type="dxa"/>
                  <w:tcBorders>
                    <w:top w:val="single" w:color="auto" w:sz="12"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50</w:t>
                  </w:r>
                </w:p>
              </w:tc>
              <w:tc>
                <w:tcPr>
                  <w:tcW w:w="2365" w:type="dxa"/>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0111</w:t>
                  </w:r>
                </w:p>
              </w:tc>
              <w:tc>
                <w:tcPr>
                  <w:tcW w:w="1803" w:type="dxa"/>
                  <w:tcBorders>
                    <w:top w:val="single" w:color="auto" w:sz="12"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2.229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1956" w:type="dxa"/>
                  <w:vAlign w:val="center"/>
                </w:tcPr>
                <w:p>
                  <w:pPr>
                    <w:spacing w:line="240" w:lineRule="auto"/>
                    <w:jc w:val="center"/>
                    <w:rPr>
                      <w:rFonts w:ascii="Times New Roman" w:hAnsi="Times New Roman"/>
                      <w:sz w:val="21"/>
                      <w:szCs w:val="21"/>
                    </w:rPr>
                  </w:pPr>
                  <w:r>
                    <w:rPr>
                      <w:rFonts w:ascii="Times New Roman" w:hAnsi="Times New Roman"/>
                      <w:sz w:val="21"/>
                      <w:szCs w:val="21"/>
                    </w:rPr>
                    <w:t>BOD</w:t>
                  </w:r>
                  <w:r>
                    <w:rPr>
                      <w:rFonts w:ascii="Times New Roman" w:hAnsi="Times New Roman"/>
                      <w:sz w:val="21"/>
                      <w:szCs w:val="21"/>
                      <w:vertAlign w:val="subscript"/>
                    </w:rPr>
                    <w:t>5</w:t>
                  </w:r>
                </w:p>
              </w:tc>
              <w:tc>
                <w:tcPr>
                  <w:tcW w:w="1948" w:type="dxa"/>
                  <w:vAlign w:val="center"/>
                </w:tcPr>
                <w:p>
                  <w:pPr>
                    <w:spacing w:line="240" w:lineRule="auto"/>
                    <w:jc w:val="center"/>
                    <w:rPr>
                      <w:rFonts w:ascii="Times New Roman" w:hAnsi="Times New Roman"/>
                      <w:sz w:val="21"/>
                      <w:szCs w:val="21"/>
                    </w:rPr>
                  </w:pPr>
                  <w:r>
                    <w:rPr>
                      <w:rFonts w:ascii="Times New Roman" w:hAnsi="Times New Roman"/>
                      <w:sz w:val="21"/>
                      <w:szCs w:val="21"/>
                    </w:rPr>
                    <w:t>10</w:t>
                  </w:r>
                </w:p>
              </w:tc>
              <w:tc>
                <w:tcPr>
                  <w:tcW w:w="2365"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0023</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0.4554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1956" w:type="dxa"/>
                  <w:vAlign w:val="center"/>
                </w:tcPr>
                <w:p>
                  <w:pPr>
                    <w:spacing w:line="240" w:lineRule="auto"/>
                    <w:jc w:val="center"/>
                    <w:rPr>
                      <w:rFonts w:ascii="Times New Roman" w:hAnsi="Times New Roman"/>
                      <w:sz w:val="21"/>
                      <w:szCs w:val="21"/>
                    </w:rPr>
                  </w:pPr>
                  <w:r>
                    <w:rPr>
                      <w:rFonts w:ascii="Times New Roman" w:hAnsi="Times New Roman"/>
                      <w:sz w:val="21"/>
                      <w:szCs w:val="21"/>
                    </w:rPr>
                    <w:t>SS</w:t>
                  </w:r>
                </w:p>
              </w:tc>
              <w:tc>
                <w:tcPr>
                  <w:tcW w:w="1948" w:type="dxa"/>
                  <w:vAlign w:val="center"/>
                </w:tcPr>
                <w:p>
                  <w:pPr>
                    <w:spacing w:line="240" w:lineRule="auto"/>
                    <w:jc w:val="center"/>
                    <w:rPr>
                      <w:rFonts w:ascii="Times New Roman" w:hAnsi="Times New Roman"/>
                      <w:sz w:val="21"/>
                      <w:szCs w:val="21"/>
                    </w:rPr>
                  </w:pPr>
                  <w:r>
                    <w:rPr>
                      <w:rFonts w:ascii="Times New Roman" w:hAnsi="Times New Roman"/>
                      <w:sz w:val="21"/>
                      <w:szCs w:val="21"/>
                    </w:rPr>
                    <w:t>10</w:t>
                  </w:r>
                </w:p>
              </w:tc>
              <w:tc>
                <w:tcPr>
                  <w:tcW w:w="2365"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w:t>
                  </w:r>
                  <w:r>
                    <w:rPr>
                      <w:rFonts w:ascii="Times New Roman" w:hAnsi="Times New Roman"/>
                      <w:sz w:val="21"/>
                      <w:szCs w:val="21"/>
                    </w:rPr>
                    <w:t>0023</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0.4554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1956" w:type="dxa"/>
                  <w:vAlign w:val="center"/>
                </w:tcPr>
                <w:p>
                  <w:pPr>
                    <w:spacing w:line="240" w:lineRule="auto"/>
                    <w:jc w:val="center"/>
                    <w:rPr>
                      <w:rFonts w:ascii="Times New Roman" w:hAnsi="Times New Roman"/>
                      <w:sz w:val="21"/>
                      <w:szCs w:val="21"/>
                    </w:rPr>
                  </w:pPr>
                  <w:r>
                    <w:rPr>
                      <w:rFonts w:ascii="Times New Roman" w:hAnsi="Times New Roman"/>
                      <w:sz w:val="21"/>
                      <w:szCs w:val="21"/>
                    </w:rPr>
                    <w:t>动植物油</w:t>
                  </w:r>
                </w:p>
              </w:tc>
              <w:tc>
                <w:tcPr>
                  <w:tcW w:w="1948" w:type="dxa"/>
                  <w:vAlign w:val="center"/>
                </w:tcPr>
                <w:p>
                  <w:pPr>
                    <w:spacing w:line="240" w:lineRule="auto"/>
                    <w:jc w:val="center"/>
                    <w:rPr>
                      <w:rFonts w:ascii="Times New Roman" w:hAnsi="Times New Roman"/>
                      <w:sz w:val="21"/>
                      <w:szCs w:val="21"/>
                    </w:rPr>
                  </w:pPr>
                  <w:r>
                    <w:rPr>
                      <w:rFonts w:ascii="Times New Roman" w:hAnsi="Times New Roman"/>
                      <w:sz w:val="21"/>
                      <w:szCs w:val="21"/>
                    </w:rPr>
                    <w:t>1</w:t>
                  </w:r>
                </w:p>
              </w:tc>
              <w:tc>
                <w:tcPr>
                  <w:tcW w:w="2365"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0.0</w:t>
                  </w:r>
                  <w:r>
                    <w:rPr>
                      <w:rFonts w:ascii="Times New Roman" w:hAnsi="Times New Roman"/>
                      <w:sz w:val="21"/>
                      <w:szCs w:val="21"/>
                    </w:rPr>
                    <w:t>002</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0.045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1956" w:type="dxa"/>
                  <w:vAlign w:val="center"/>
                </w:tcPr>
                <w:p>
                  <w:pPr>
                    <w:spacing w:line="240" w:lineRule="auto"/>
                    <w:jc w:val="center"/>
                    <w:rPr>
                      <w:rFonts w:ascii="Times New Roman" w:hAnsi="Times New Roman"/>
                      <w:sz w:val="21"/>
                      <w:szCs w:val="21"/>
                    </w:rPr>
                  </w:pPr>
                  <w:r>
                    <w:rPr>
                      <w:rFonts w:ascii="Times New Roman" w:hAnsi="Times New Roman"/>
                      <w:sz w:val="21"/>
                      <w:szCs w:val="21"/>
                    </w:rPr>
                    <w:t>氨氮</w:t>
                  </w:r>
                </w:p>
              </w:tc>
              <w:tc>
                <w:tcPr>
                  <w:tcW w:w="1948" w:type="dxa"/>
                  <w:vAlign w:val="center"/>
                </w:tcPr>
                <w:p>
                  <w:pPr>
                    <w:spacing w:line="240" w:lineRule="auto"/>
                    <w:jc w:val="center"/>
                    <w:rPr>
                      <w:rFonts w:ascii="Times New Roman" w:hAnsi="Times New Roman"/>
                      <w:sz w:val="21"/>
                      <w:szCs w:val="21"/>
                    </w:rPr>
                  </w:pPr>
                  <w:r>
                    <w:rPr>
                      <w:rFonts w:ascii="Times New Roman" w:hAnsi="Times New Roman"/>
                      <w:sz w:val="21"/>
                      <w:szCs w:val="21"/>
                    </w:rPr>
                    <w:t>5</w:t>
                  </w:r>
                </w:p>
              </w:tc>
              <w:tc>
                <w:tcPr>
                  <w:tcW w:w="2365" w:type="dxa"/>
                  <w:vAlign w:val="center"/>
                </w:tcPr>
                <w:p>
                  <w:pPr>
                    <w:autoSpaceDE w:val="0"/>
                    <w:autoSpaceDN w:val="0"/>
                    <w:adjustRightInd w:val="0"/>
                    <w:spacing w:line="240" w:lineRule="auto"/>
                    <w:jc w:val="center"/>
                    <w:rPr>
                      <w:rFonts w:ascii="Times New Roman" w:hAnsi="Times New Roman"/>
                      <w:sz w:val="21"/>
                      <w:szCs w:val="21"/>
                    </w:rPr>
                  </w:pPr>
                  <w:r>
                    <w:rPr>
                      <w:rFonts w:ascii="Times New Roman" w:hAnsi="Times New Roman"/>
                      <w:sz w:val="21"/>
                      <w:szCs w:val="21"/>
                    </w:rPr>
                    <w:t>0.0011</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0.2282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restart"/>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项目排放口合计</w:t>
                  </w:r>
                </w:p>
              </w:tc>
              <w:tc>
                <w:tcPr>
                  <w:tcW w:w="6269" w:type="dxa"/>
                  <w:gridSpan w:val="3"/>
                  <w:vAlign w:val="center"/>
                </w:tcPr>
                <w:p>
                  <w:pPr>
                    <w:spacing w:line="240" w:lineRule="auto"/>
                    <w:jc w:val="center"/>
                    <w:rPr>
                      <w:rFonts w:ascii="Times New Roman" w:hAnsi="Times New Roman"/>
                      <w:sz w:val="21"/>
                      <w:szCs w:val="21"/>
                    </w:rPr>
                  </w:pPr>
                  <w:r>
                    <w:rPr>
                      <w:rFonts w:ascii="Times New Roman" w:hAnsi="Times New Roman"/>
                      <w:sz w:val="21"/>
                      <w:szCs w:val="21"/>
                    </w:rPr>
                    <w:t>COD</w:t>
                  </w:r>
                </w:p>
              </w:tc>
              <w:tc>
                <w:tcPr>
                  <w:tcW w:w="1803" w:type="dxa"/>
                  <w:tcBorders>
                    <w:top w:val="single" w:color="auto" w:sz="12" w:space="0"/>
                  </w:tcBorders>
                  <w:vAlign w:val="center"/>
                </w:tcPr>
                <w:p>
                  <w:pPr>
                    <w:spacing w:line="240" w:lineRule="auto"/>
                    <w:jc w:val="center"/>
                    <w:rPr>
                      <w:rFonts w:ascii="Times New Roman" w:hAnsi="Times New Roman"/>
                      <w:sz w:val="21"/>
                      <w:szCs w:val="21"/>
                    </w:rPr>
                  </w:pPr>
                  <w:r>
                    <w:rPr>
                      <w:rFonts w:ascii="Times New Roman" w:hAnsi="Times New Roman"/>
                      <w:sz w:val="21"/>
                      <w:szCs w:val="21"/>
                    </w:rPr>
                    <w:t>2.229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6269" w:type="dxa"/>
                  <w:gridSpan w:val="3"/>
                  <w:vAlign w:val="center"/>
                </w:tcPr>
                <w:p>
                  <w:pPr>
                    <w:spacing w:line="240" w:lineRule="auto"/>
                    <w:jc w:val="center"/>
                    <w:rPr>
                      <w:rFonts w:ascii="Times New Roman" w:hAnsi="Times New Roman"/>
                      <w:sz w:val="21"/>
                      <w:szCs w:val="21"/>
                    </w:rPr>
                  </w:pPr>
                  <w:r>
                    <w:rPr>
                      <w:rFonts w:ascii="Times New Roman" w:hAnsi="Times New Roman"/>
                      <w:sz w:val="21"/>
                      <w:szCs w:val="21"/>
                    </w:rPr>
                    <w:t>BOD</w:t>
                  </w:r>
                  <w:r>
                    <w:rPr>
                      <w:rFonts w:ascii="Times New Roman" w:hAnsi="Times New Roman"/>
                      <w:sz w:val="21"/>
                      <w:szCs w:val="21"/>
                      <w:vertAlign w:val="subscript"/>
                    </w:rPr>
                    <w:t>5</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0.4554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6269" w:type="dxa"/>
                  <w:gridSpan w:val="3"/>
                  <w:vAlign w:val="center"/>
                </w:tcPr>
                <w:p>
                  <w:pPr>
                    <w:spacing w:line="240" w:lineRule="auto"/>
                    <w:jc w:val="center"/>
                    <w:rPr>
                      <w:rFonts w:ascii="Times New Roman" w:hAnsi="Times New Roman"/>
                      <w:sz w:val="21"/>
                      <w:szCs w:val="21"/>
                    </w:rPr>
                  </w:pPr>
                  <w:r>
                    <w:rPr>
                      <w:rFonts w:ascii="Times New Roman" w:hAnsi="Times New Roman"/>
                      <w:sz w:val="21"/>
                      <w:szCs w:val="21"/>
                    </w:rPr>
                    <w:t>SS</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0.4554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6269" w:type="dxa"/>
                  <w:gridSpan w:val="3"/>
                  <w:vAlign w:val="center"/>
                </w:tcPr>
                <w:p>
                  <w:pPr>
                    <w:spacing w:line="240" w:lineRule="auto"/>
                    <w:jc w:val="center"/>
                    <w:rPr>
                      <w:rFonts w:ascii="Times New Roman" w:hAnsi="Times New Roman"/>
                      <w:sz w:val="21"/>
                      <w:szCs w:val="21"/>
                    </w:rPr>
                  </w:pPr>
                  <w:r>
                    <w:rPr>
                      <w:rFonts w:ascii="Times New Roman" w:hAnsi="Times New Roman"/>
                      <w:sz w:val="21"/>
                      <w:szCs w:val="21"/>
                    </w:rPr>
                    <w:t>动植物油</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0.045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vMerge w:val="continue"/>
                  <w:vAlign w:val="center"/>
                </w:tcPr>
                <w:p>
                  <w:pPr>
                    <w:autoSpaceDE w:val="0"/>
                    <w:autoSpaceDN w:val="0"/>
                    <w:adjustRightInd w:val="0"/>
                    <w:spacing w:line="240" w:lineRule="auto"/>
                    <w:jc w:val="center"/>
                    <w:rPr>
                      <w:rFonts w:ascii="Times New Roman" w:hAnsi="Times New Roman"/>
                      <w:sz w:val="21"/>
                      <w:szCs w:val="21"/>
                    </w:rPr>
                  </w:pPr>
                </w:p>
              </w:tc>
              <w:tc>
                <w:tcPr>
                  <w:tcW w:w="6269" w:type="dxa"/>
                  <w:gridSpan w:val="3"/>
                  <w:vAlign w:val="center"/>
                </w:tcPr>
                <w:p>
                  <w:pPr>
                    <w:spacing w:line="240" w:lineRule="auto"/>
                    <w:jc w:val="center"/>
                    <w:rPr>
                      <w:rFonts w:ascii="Times New Roman" w:hAnsi="Times New Roman"/>
                      <w:sz w:val="21"/>
                      <w:szCs w:val="21"/>
                    </w:rPr>
                  </w:pPr>
                  <w:r>
                    <w:rPr>
                      <w:rFonts w:ascii="Times New Roman" w:hAnsi="Times New Roman"/>
                      <w:sz w:val="21"/>
                      <w:szCs w:val="21"/>
                    </w:rPr>
                    <w:t>氨氮</w:t>
                  </w:r>
                </w:p>
              </w:tc>
              <w:tc>
                <w:tcPr>
                  <w:tcW w:w="1803" w:type="dxa"/>
                  <w:vAlign w:val="center"/>
                </w:tcPr>
                <w:p>
                  <w:pPr>
                    <w:spacing w:line="240" w:lineRule="auto"/>
                    <w:jc w:val="center"/>
                    <w:rPr>
                      <w:rFonts w:ascii="Times New Roman" w:hAnsi="Times New Roman"/>
                      <w:sz w:val="21"/>
                      <w:szCs w:val="21"/>
                    </w:rPr>
                  </w:pPr>
                  <w:r>
                    <w:rPr>
                      <w:rFonts w:ascii="Times New Roman" w:hAnsi="Times New Roman"/>
                      <w:sz w:val="21"/>
                      <w:szCs w:val="21"/>
                    </w:rPr>
                    <w:t>0.2282</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（6）评价等级</w:t>
            </w:r>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根据《环境影响评价技术导则——地表水环境》(HJ2.3-2018)，建设项目地表水环境影响评价等级按照影响类型、排放方式、排放量或影响情况、受纳水环境质量现状、水环境保护目标等综合确定。水污染影响型建设项目评价等级判定如下表所示：</w:t>
            </w:r>
          </w:p>
          <w:p>
            <w:pPr>
              <w:spacing w:line="360" w:lineRule="auto"/>
              <w:ind w:firstLine="482" w:firstLineChars="200"/>
              <w:jc w:val="center"/>
              <w:rPr>
                <w:rFonts w:ascii="Times New Roman" w:hAnsi="Times New Roman"/>
                <w:b/>
                <w:bCs/>
              </w:rPr>
            </w:pPr>
            <w:r>
              <w:rPr>
                <w:rFonts w:hint="eastAsia" w:ascii="Times New Roman" w:hAnsi="Times New Roman"/>
                <w:b/>
                <w:bCs/>
              </w:rPr>
              <w:t>表7-</w:t>
            </w:r>
            <w:r>
              <w:rPr>
                <w:rFonts w:ascii="Times New Roman" w:hAnsi="Times New Roman"/>
                <w:b/>
                <w:bCs/>
              </w:rPr>
              <w:t>19</w:t>
            </w:r>
            <w:r>
              <w:rPr>
                <w:rFonts w:hint="eastAsia" w:ascii="Times New Roman" w:hAnsi="Times New Roman"/>
                <w:b/>
                <w:bCs/>
              </w:rPr>
              <w:t xml:space="preserve">  水污染影响型建设项目评价等级判定</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611"/>
              <w:gridCol w:w="43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vMerge w:val="restart"/>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评价等级</w:t>
                  </w:r>
                </w:p>
              </w:tc>
              <w:tc>
                <w:tcPr>
                  <w:tcW w:w="6919" w:type="dxa"/>
                  <w:gridSpan w:val="2"/>
                  <w:tcBorders>
                    <w:top w:val="single" w:color="auto" w:sz="12" w:space="0"/>
                    <w:bottom w:val="single" w:color="auto" w:sz="4"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判定依据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vMerge w:val="continue"/>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p>
              </w:tc>
              <w:tc>
                <w:tcPr>
                  <w:tcW w:w="2611" w:type="dxa"/>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排放方式</w:t>
                  </w:r>
                </w:p>
              </w:tc>
              <w:tc>
                <w:tcPr>
                  <w:tcW w:w="4308" w:type="dxa"/>
                  <w:tcBorders>
                    <w:top w:val="single" w:color="auto" w:sz="4" w:space="0"/>
                    <w:bottom w:val="single" w:color="auto" w:sz="12" w:space="0"/>
                  </w:tcBorders>
                  <w:vAlign w:val="center"/>
                </w:tcPr>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废水排放量Q/(m</w:t>
                  </w:r>
                  <w:r>
                    <w:rPr>
                      <w:rFonts w:hint="eastAsia" w:ascii="Times New Roman" w:hAnsi="Times New Roman"/>
                      <w:b/>
                      <w:bCs/>
                      <w:sz w:val="21"/>
                      <w:szCs w:val="21"/>
                      <w:vertAlign w:val="superscript"/>
                    </w:rPr>
                    <w:t>3</w:t>
                  </w:r>
                  <w:r>
                    <w:rPr>
                      <w:rFonts w:hint="eastAsia" w:ascii="Times New Roman" w:hAnsi="Times New Roman"/>
                      <w:b/>
                      <w:bCs/>
                      <w:sz w:val="21"/>
                      <w:szCs w:val="21"/>
                    </w:rPr>
                    <w:t>/d)；</w:t>
                  </w:r>
                </w:p>
                <w:p>
                  <w:pPr>
                    <w:autoSpaceDE w:val="0"/>
                    <w:autoSpaceDN w:val="0"/>
                    <w:adjustRightInd w:val="0"/>
                    <w:spacing w:line="240" w:lineRule="auto"/>
                    <w:jc w:val="center"/>
                    <w:rPr>
                      <w:rFonts w:ascii="Times New Roman" w:hAnsi="Times New Roman"/>
                      <w:b/>
                      <w:bCs/>
                      <w:sz w:val="21"/>
                      <w:szCs w:val="21"/>
                    </w:rPr>
                  </w:pPr>
                  <w:r>
                    <w:rPr>
                      <w:rFonts w:hint="eastAsia" w:ascii="Times New Roman" w:hAnsi="Times New Roman"/>
                      <w:b/>
                      <w:bCs/>
                      <w:sz w:val="21"/>
                      <w:szCs w:val="21"/>
                    </w:rPr>
                    <w:t>水污染物当量数W/（无量纲）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一级</w:t>
                  </w:r>
                </w:p>
              </w:tc>
              <w:tc>
                <w:tcPr>
                  <w:tcW w:w="2611" w:type="dxa"/>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直接排放</w:t>
                  </w:r>
                </w:p>
              </w:tc>
              <w:tc>
                <w:tcPr>
                  <w:tcW w:w="4308" w:type="dxa"/>
                  <w:tcBorders>
                    <w:top w:val="single" w:color="auto" w:sz="12" w:space="0"/>
                  </w:tcBorders>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Q≥20000或W≥600000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二级</w:t>
                  </w:r>
                </w:p>
              </w:tc>
              <w:tc>
                <w:tcPr>
                  <w:tcW w:w="2611"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直接排放</w:t>
                  </w:r>
                </w:p>
              </w:tc>
              <w:tc>
                <w:tcPr>
                  <w:tcW w:w="4308"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其他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三级A</w:t>
                  </w:r>
                </w:p>
              </w:tc>
              <w:tc>
                <w:tcPr>
                  <w:tcW w:w="2611"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直接排放</w:t>
                  </w:r>
                </w:p>
              </w:tc>
              <w:tc>
                <w:tcPr>
                  <w:tcW w:w="4308"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Q＜200且W＜6000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52"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三级B</w:t>
                  </w:r>
                </w:p>
              </w:tc>
              <w:tc>
                <w:tcPr>
                  <w:tcW w:w="2611"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间接排放</w:t>
                  </w:r>
                </w:p>
              </w:tc>
              <w:tc>
                <w:tcPr>
                  <w:tcW w:w="4308" w:type="dxa"/>
                  <w:vAlign w:val="center"/>
                </w:tcPr>
                <w:p>
                  <w:pPr>
                    <w:autoSpaceDE w:val="0"/>
                    <w:autoSpaceDN w:val="0"/>
                    <w:adjustRightInd w:val="0"/>
                    <w:spacing w:line="240" w:lineRule="auto"/>
                    <w:jc w:val="center"/>
                    <w:rPr>
                      <w:rFonts w:ascii="Times New Roman" w:hAnsi="Times New Roman"/>
                      <w:sz w:val="21"/>
                      <w:szCs w:val="21"/>
                    </w:rPr>
                  </w:pPr>
                  <w:r>
                    <w:rPr>
                      <w:rFonts w:hint="eastAsia" w:ascii="Times New Roman" w:hAnsi="Times New Roman"/>
                      <w:sz w:val="21"/>
                      <w:szCs w:val="21"/>
                    </w:rPr>
                    <w:t>—</w:t>
                  </w:r>
                </w:p>
              </w:tc>
            </w:tr>
          </w:tbl>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rPr>
              <w:t>项</w:t>
            </w:r>
            <w:r>
              <w:rPr>
                <w:rFonts w:hint="eastAsia" w:ascii="Times New Roman" w:hAnsi="Times New Roman" w:eastAsia="宋体" w:cs="Times New Roman"/>
                <w:color w:val="000000"/>
                <w:kern w:val="0"/>
                <w:szCs w:val="24"/>
                <w:lang w:bidi="ar"/>
              </w:rPr>
              <w:t>目污水经污水管道排入罗家坡污水处理厂处理，处理后排至北港河，最终排至南湖属于间接排放，因此评价等级为三级B。根据《环境影响评价技术导则——地表水环境》(HJ2.3-2018)，水污染影响型三级B评价可不进行水环境影响预测。</w:t>
            </w:r>
          </w:p>
          <w:p>
            <w:pPr>
              <w:widowControl/>
              <w:ind w:firstLine="480" w:firstLineChars="200"/>
              <w:jc w:val="left"/>
              <w:rPr>
                <w:rFonts w:ascii="Times New Roman" w:hAnsi="Times New Roman"/>
              </w:rPr>
            </w:pPr>
            <w:r>
              <w:rPr>
                <w:rFonts w:ascii="Times New Roman" w:hAnsi="Times New Roman" w:eastAsia="宋体" w:cs="Times New Roman"/>
                <w:color w:val="000000"/>
                <w:kern w:val="0"/>
                <w:szCs w:val="24"/>
                <w:lang w:bidi="ar"/>
              </w:rPr>
              <w:t>根据罗家坡污水处理厂</w:t>
            </w:r>
            <w:r>
              <w:rPr>
                <w:rFonts w:hint="eastAsia" w:ascii="Times New Roman" w:hAnsi="Times New Roman" w:eastAsia="宋体" w:cs="Times New Roman"/>
                <w:color w:val="000000"/>
                <w:kern w:val="0"/>
                <w:szCs w:val="24"/>
                <w:lang w:bidi="ar"/>
              </w:rPr>
              <w:t>2018年度</w:t>
            </w:r>
            <w:r>
              <w:rPr>
                <w:rFonts w:ascii="Times New Roman" w:hAnsi="Times New Roman" w:eastAsia="宋体" w:cs="Times New Roman"/>
                <w:color w:val="000000"/>
                <w:kern w:val="0"/>
                <w:szCs w:val="24"/>
                <w:lang w:bidi="ar"/>
              </w:rPr>
              <w:t>监督性监测数据可知（详见</w:t>
            </w:r>
            <w:r>
              <w:rPr>
                <w:rFonts w:hint="eastAsia" w:ascii="Times New Roman" w:hAnsi="Times New Roman" w:eastAsia="宋体" w:cs="Times New Roman"/>
                <w:color w:val="000000"/>
                <w:kern w:val="0"/>
                <w:szCs w:val="24"/>
                <w:lang w:bidi="ar"/>
              </w:rPr>
              <w:t>表7-</w:t>
            </w:r>
            <w:r>
              <w:rPr>
                <w:rFonts w:ascii="Times New Roman" w:hAnsi="Times New Roman" w:eastAsia="宋体" w:cs="Times New Roman"/>
                <w:color w:val="000000"/>
                <w:kern w:val="0"/>
                <w:szCs w:val="24"/>
                <w:lang w:bidi="ar"/>
              </w:rPr>
              <w:t>20），罗家坡污水处理厂废水经处理后满足《城镇污水处理厂污染物排放标准》中的一级</w:t>
            </w:r>
            <w:r>
              <w:rPr>
                <w:rFonts w:hint="eastAsia" w:ascii="Times New Roman" w:hAnsi="Times New Roman" w:eastAsia="宋体" w:cs="Times New Roman"/>
                <w:color w:val="000000"/>
                <w:kern w:val="0"/>
                <w:szCs w:val="24"/>
                <w:lang w:bidi="ar"/>
              </w:rPr>
              <w:t>A</w:t>
            </w:r>
            <w:r>
              <w:rPr>
                <w:rFonts w:ascii="Times New Roman" w:hAnsi="Times New Roman" w:eastAsia="宋体" w:cs="Times New Roman"/>
                <w:color w:val="000000"/>
                <w:kern w:val="0"/>
                <w:szCs w:val="24"/>
                <w:lang w:bidi="ar"/>
              </w:rPr>
              <w:t>标准</w:t>
            </w:r>
            <w:r>
              <w:rPr>
                <w:rFonts w:hint="eastAsia" w:ascii="Times New Roman" w:hAnsi="Times New Roman" w:eastAsia="宋体" w:cs="Times New Roman"/>
                <w:color w:val="000000"/>
                <w:kern w:val="0"/>
                <w:szCs w:val="24"/>
                <w:lang w:bidi="ar"/>
              </w:rPr>
              <w:t>要求。</w:t>
            </w:r>
          </w:p>
          <w:p>
            <w:pPr>
              <w:jc w:val="center"/>
              <w:rPr>
                <w:rFonts w:ascii="Times New Roman" w:hAnsi="Times New Roman"/>
                <w:b/>
                <w:bCs/>
                <w:u w:val="single"/>
              </w:rPr>
            </w:pPr>
            <w:r>
              <w:rPr>
                <w:rFonts w:ascii="Times New Roman" w:hAnsi="Times New Roman"/>
                <w:b/>
                <w:bCs/>
                <w:u w:val="single"/>
              </w:rPr>
              <w:t>表</w:t>
            </w:r>
            <w:r>
              <w:rPr>
                <w:rFonts w:hint="eastAsia" w:ascii="Times New Roman" w:hAnsi="Times New Roman"/>
                <w:b/>
                <w:bCs/>
                <w:u w:val="single"/>
              </w:rPr>
              <w:t>7-2</w:t>
            </w:r>
            <w:r>
              <w:rPr>
                <w:rFonts w:ascii="Times New Roman" w:hAnsi="Times New Roman"/>
                <w:b/>
                <w:bCs/>
                <w:u w:val="single"/>
              </w:rPr>
              <w:t>0  罗家坡污水处理厂</w:t>
            </w:r>
            <w:r>
              <w:rPr>
                <w:rFonts w:hint="eastAsia" w:ascii="Times New Roman" w:hAnsi="Times New Roman"/>
                <w:b/>
                <w:bCs/>
                <w:u w:val="single"/>
              </w:rPr>
              <w:t>水质</w:t>
            </w:r>
            <w:r>
              <w:rPr>
                <w:rFonts w:ascii="Times New Roman" w:hAnsi="Times New Roman"/>
                <w:b/>
                <w:bCs/>
                <w:u w:val="single"/>
              </w:rPr>
              <w:t>监测结果表   单位：mg/L，pH除外</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1915"/>
              <w:gridCol w:w="879"/>
              <w:gridCol w:w="906"/>
              <w:gridCol w:w="977"/>
              <w:gridCol w:w="1080"/>
              <w:gridCol w:w="969"/>
              <w:gridCol w:w="981"/>
              <w:gridCol w:w="8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00" w:type="dxa"/>
                  <w:gridSpan w:val="2"/>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控制项目</w:t>
                  </w:r>
                </w:p>
              </w:tc>
              <w:tc>
                <w:tcPr>
                  <w:tcW w:w="879" w:type="dxa"/>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pH</w:t>
                  </w:r>
                </w:p>
              </w:tc>
              <w:tc>
                <w:tcPr>
                  <w:tcW w:w="906" w:type="dxa"/>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COD</w:t>
                  </w:r>
                </w:p>
              </w:tc>
              <w:tc>
                <w:tcPr>
                  <w:tcW w:w="977" w:type="dxa"/>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石油类</w:t>
                  </w:r>
                </w:p>
              </w:tc>
              <w:tc>
                <w:tcPr>
                  <w:tcW w:w="1080" w:type="dxa"/>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氨氮</w:t>
                  </w:r>
                </w:p>
              </w:tc>
              <w:tc>
                <w:tcPr>
                  <w:tcW w:w="969" w:type="dxa"/>
                  <w:tcBorders>
                    <w:top w:val="single" w:color="auto" w:sz="12" w:space="0"/>
                    <w:bottom w:val="single" w:color="auto" w:sz="12" w:space="0"/>
                  </w:tcBorders>
                  <w:vAlign w:val="center"/>
                </w:tcPr>
                <w:p>
                  <w:pPr>
                    <w:spacing w:line="240" w:lineRule="auto"/>
                    <w:jc w:val="center"/>
                    <w:rPr>
                      <w:rFonts w:ascii="Times New Roman" w:hAnsi="Times New Roman"/>
                      <w:b/>
                      <w:bCs/>
                      <w:sz w:val="21"/>
                      <w:szCs w:val="21"/>
                      <w:u w:val="single"/>
                    </w:rPr>
                  </w:pPr>
                  <w:r>
                    <w:rPr>
                      <w:rFonts w:ascii="Times New Roman" w:hAnsi="Times New Roman"/>
                      <w:b/>
                      <w:bCs/>
                      <w:sz w:val="21"/>
                      <w:szCs w:val="21"/>
                      <w:u w:val="single"/>
                    </w:rPr>
                    <w:t>挥发酚</w:t>
                  </w:r>
                </w:p>
              </w:tc>
              <w:tc>
                <w:tcPr>
                  <w:tcW w:w="981" w:type="dxa"/>
                  <w:tcBorders>
                    <w:top w:val="single" w:color="auto" w:sz="12" w:space="0"/>
                    <w:bottom w:val="single" w:color="auto" w:sz="12" w:space="0"/>
                  </w:tcBorders>
                </w:tcPr>
                <w:p>
                  <w:pPr>
                    <w:spacing w:line="240" w:lineRule="auto"/>
                    <w:jc w:val="center"/>
                    <w:rPr>
                      <w:rFonts w:ascii="Times New Roman" w:hAnsi="Times New Roman"/>
                      <w:b/>
                      <w:bCs/>
                      <w:sz w:val="21"/>
                      <w:szCs w:val="21"/>
                      <w:u w:val="single"/>
                    </w:rPr>
                  </w:pPr>
                  <w:r>
                    <w:rPr>
                      <w:rFonts w:hint="eastAsia" w:ascii="Times New Roman" w:hAnsi="Times New Roman"/>
                      <w:b/>
                      <w:bCs/>
                      <w:sz w:val="21"/>
                      <w:szCs w:val="21"/>
                      <w:u w:val="single"/>
                    </w:rPr>
                    <w:t>BOD5</w:t>
                  </w:r>
                </w:p>
              </w:tc>
              <w:tc>
                <w:tcPr>
                  <w:tcW w:w="849" w:type="dxa"/>
                  <w:tcBorders>
                    <w:top w:val="single" w:color="auto" w:sz="12" w:space="0"/>
                    <w:bottom w:val="single" w:color="auto" w:sz="12" w:space="0"/>
                  </w:tcBorders>
                </w:tcPr>
                <w:p>
                  <w:pPr>
                    <w:spacing w:line="240" w:lineRule="auto"/>
                    <w:jc w:val="center"/>
                    <w:rPr>
                      <w:rFonts w:ascii="Times New Roman" w:hAnsi="Times New Roman"/>
                      <w:b/>
                      <w:bCs/>
                      <w:sz w:val="21"/>
                      <w:szCs w:val="21"/>
                      <w:u w:val="single"/>
                    </w:rPr>
                  </w:pPr>
                  <w:r>
                    <w:rPr>
                      <w:rFonts w:hint="eastAsia" w:ascii="Times New Roman" w:hAnsi="Times New Roman"/>
                      <w:b/>
                      <w:bCs/>
                      <w:sz w:val="21"/>
                      <w:szCs w:val="21"/>
                      <w:u w:val="single"/>
                    </w:rPr>
                    <w:t>总磷</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 w:type="dxa"/>
                  <w:vMerge w:val="restart"/>
                  <w:tcBorders>
                    <w:top w:val="single" w:color="auto" w:sz="12" w:space="0"/>
                  </w:tcBorders>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处理设施排口</w:t>
                  </w:r>
                </w:p>
              </w:tc>
              <w:tc>
                <w:tcPr>
                  <w:tcW w:w="1915"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2018年第一季度</w:t>
                  </w:r>
                </w:p>
              </w:tc>
              <w:tc>
                <w:tcPr>
                  <w:tcW w:w="879"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7.13</w:t>
                  </w:r>
                </w:p>
              </w:tc>
              <w:tc>
                <w:tcPr>
                  <w:tcW w:w="906"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33</w:t>
                  </w:r>
                </w:p>
              </w:tc>
              <w:tc>
                <w:tcPr>
                  <w:tcW w:w="977"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0.04</w:t>
                  </w:r>
                </w:p>
              </w:tc>
              <w:tc>
                <w:tcPr>
                  <w:tcW w:w="1080"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0.025ND</w:t>
                  </w:r>
                </w:p>
              </w:tc>
              <w:tc>
                <w:tcPr>
                  <w:tcW w:w="969"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0.01ND</w:t>
                  </w:r>
                </w:p>
              </w:tc>
              <w:tc>
                <w:tcPr>
                  <w:tcW w:w="981"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4.9</w:t>
                  </w:r>
                </w:p>
              </w:tc>
              <w:tc>
                <w:tcPr>
                  <w:tcW w:w="849" w:type="dxa"/>
                  <w:tcBorders>
                    <w:top w:val="single" w:color="auto" w:sz="12" w:space="0"/>
                  </w:tcBorders>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 w:type="dxa"/>
                  <w:vMerge w:val="continue"/>
                  <w:vAlign w:val="center"/>
                </w:tcPr>
                <w:p>
                  <w:pPr>
                    <w:spacing w:line="240" w:lineRule="auto"/>
                    <w:jc w:val="center"/>
                    <w:rPr>
                      <w:rFonts w:ascii="Times New Roman" w:hAnsi="Times New Roman"/>
                      <w:sz w:val="21"/>
                      <w:szCs w:val="21"/>
                      <w:u w:val="single"/>
                    </w:rPr>
                  </w:pPr>
                </w:p>
              </w:tc>
              <w:tc>
                <w:tcPr>
                  <w:tcW w:w="1915"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2018年第二季度</w:t>
                  </w:r>
                </w:p>
              </w:tc>
              <w:tc>
                <w:tcPr>
                  <w:tcW w:w="87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6.15</w:t>
                  </w:r>
                </w:p>
              </w:tc>
              <w:tc>
                <w:tcPr>
                  <w:tcW w:w="906"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35</w:t>
                  </w:r>
                </w:p>
              </w:tc>
              <w:tc>
                <w:tcPr>
                  <w:tcW w:w="977"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0.08</w:t>
                  </w:r>
                </w:p>
              </w:tc>
              <w:tc>
                <w:tcPr>
                  <w:tcW w:w="1080"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0.122</w:t>
                  </w:r>
                </w:p>
              </w:tc>
              <w:tc>
                <w:tcPr>
                  <w:tcW w:w="96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0.01ND</w:t>
                  </w:r>
                </w:p>
              </w:tc>
              <w:tc>
                <w:tcPr>
                  <w:tcW w:w="981"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1.2</w:t>
                  </w:r>
                </w:p>
              </w:tc>
              <w:tc>
                <w:tcPr>
                  <w:tcW w:w="84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 w:type="dxa"/>
                  <w:vMerge w:val="continue"/>
                  <w:vAlign w:val="center"/>
                </w:tcPr>
                <w:p>
                  <w:pPr>
                    <w:spacing w:line="240" w:lineRule="auto"/>
                    <w:jc w:val="center"/>
                    <w:rPr>
                      <w:rFonts w:ascii="Times New Roman" w:hAnsi="Times New Roman"/>
                      <w:sz w:val="21"/>
                      <w:szCs w:val="21"/>
                      <w:u w:val="single"/>
                    </w:rPr>
                  </w:pPr>
                </w:p>
              </w:tc>
              <w:tc>
                <w:tcPr>
                  <w:tcW w:w="1915"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2018年第三季度</w:t>
                  </w:r>
                </w:p>
              </w:tc>
              <w:tc>
                <w:tcPr>
                  <w:tcW w:w="87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906"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35</w:t>
                  </w:r>
                </w:p>
              </w:tc>
              <w:tc>
                <w:tcPr>
                  <w:tcW w:w="977"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1080"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3.24</w:t>
                  </w:r>
                </w:p>
              </w:tc>
              <w:tc>
                <w:tcPr>
                  <w:tcW w:w="96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981"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84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 w:type="dxa"/>
                  <w:vMerge w:val="continue"/>
                  <w:vAlign w:val="center"/>
                </w:tcPr>
                <w:p>
                  <w:pPr>
                    <w:spacing w:line="240" w:lineRule="auto"/>
                    <w:jc w:val="center"/>
                    <w:rPr>
                      <w:rFonts w:ascii="Times New Roman" w:hAnsi="Times New Roman"/>
                      <w:sz w:val="21"/>
                      <w:szCs w:val="21"/>
                      <w:u w:val="single"/>
                    </w:rPr>
                  </w:pPr>
                </w:p>
              </w:tc>
              <w:tc>
                <w:tcPr>
                  <w:tcW w:w="1915"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2018年第四季度</w:t>
                  </w:r>
                </w:p>
              </w:tc>
              <w:tc>
                <w:tcPr>
                  <w:tcW w:w="87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906"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37</w:t>
                  </w:r>
                </w:p>
              </w:tc>
              <w:tc>
                <w:tcPr>
                  <w:tcW w:w="977"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1080"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0.025ND</w:t>
                  </w:r>
                </w:p>
              </w:tc>
              <w:tc>
                <w:tcPr>
                  <w:tcW w:w="96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981"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w:t>
                  </w:r>
                </w:p>
              </w:tc>
              <w:tc>
                <w:tcPr>
                  <w:tcW w:w="84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00" w:type="dxa"/>
                  <w:gridSpan w:val="2"/>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一级A标准限值</w:t>
                  </w:r>
                </w:p>
              </w:tc>
              <w:tc>
                <w:tcPr>
                  <w:tcW w:w="879" w:type="dxa"/>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6～9</w:t>
                  </w:r>
                </w:p>
              </w:tc>
              <w:tc>
                <w:tcPr>
                  <w:tcW w:w="906"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50</w:t>
                  </w:r>
                </w:p>
              </w:tc>
              <w:tc>
                <w:tcPr>
                  <w:tcW w:w="977"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1</w:t>
                  </w:r>
                </w:p>
              </w:tc>
              <w:tc>
                <w:tcPr>
                  <w:tcW w:w="1080"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5</w:t>
                  </w:r>
                </w:p>
              </w:tc>
              <w:tc>
                <w:tcPr>
                  <w:tcW w:w="969" w:type="dxa"/>
                  <w:vAlign w:val="center"/>
                </w:tcPr>
                <w:p>
                  <w:pPr>
                    <w:spacing w:line="240" w:lineRule="auto"/>
                    <w:jc w:val="center"/>
                    <w:rPr>
                      <w:rFonts w:ascii="Times New Roman" w:hAnsi="Times New Roman"/>
                      <w:sz w:val="21"/>
                      <w:szCs w:val="21"/>
                      <w:u w:val="single"/>
                    </w:rPr>
                  </w:pPr>
                  <w:r>
                    <w:rPr>
                      <w:rFonts w:ascii="Times New Roman" w:hAnsi="Times New Roman"/>
                      <w:sz w:val="21"/>
                      <w:szCs w:val="21"/>
                      <w:u w:val="single"/>
                    </w:rPr>
                    <w:t>0.5</w:t>
                  </w:r>
                </w:p>
              </w:tc>
              <w:tc>
                <w:tcPr>
                  <w:tcW w:w="981"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20</w:t>
                  </w:r>
                </w:p>
              </w:tc>
              <w:tc>
                <w:tcPr>
                  <w:tcW w:w="849" w:type="dxa"/>
                  <w:vAlign w:val="center"/>
                </w:tcPr>
                <w:p>
                  <w:pPr>
                    <w:spacing w:line="240" w:lineRule="auto"/>
                    <w:jc w:val="center"/>
                    <w:rPr>
                      <w:rFonts w:ascii="Times New Roman" w:hAnsi="Times New Roman"/>
                      <w:sz w:val="21"/>
                      <w:szCs w:val="21"/>
                      <w:u w:val="single"/>
                    </w:rPr>
                  </w:pPr>
                  <w:r>
                    <w:rPr>
                      <w:rFonts w:hint="eastAsia" w:ascii="Times New Roman" w:hAnsi="Times New Roman"/>
                      <w:sz w:val="21"/>
                      <w:szCs w:val="21"/>
                      <w:u w:val="single"/>
                    </w:rPr>
                    <w:t>0.5</w:t>
                  </w:r>
                </w:p>
              </w:tc>
            </w:tr>
          </w:tbl>
          <w:p>
            <w:pPr>
              <w:ind w:firstLine="480" w:firstLineChars="200"/>
              <w:rPr>
                <w:u w:val="single"/>
              </w:rPr>
            </w:pPr>
            <w:r>
              <w:rPr>
                <w:rFonts w:hint="eastAsia" w:ascii="Times New Roman" w:hAnsi="Times New Roman"/>
                <w:u w:val="single"/>
              </w:rPr>
              <w:t>本项目废水水质经预处理后较为简单，为罗家坡污水处理厂的常规处理项目，</w:t>
            </w:r>
            <w:r>
              <w:rPr>
                <w:rFonts w:hint="eastAsia"/>
                <w:u w:val="single"/>
              </w:rPr>
              <w:t>项目废水日最大排放量为</w:t>
            </w:r>
            <w:r>
              <w:rPr>
                <w:rFonts w:ascii="Times New Roman" w:hAnsi="Times New Roman" w:cs="Times New Roman"/>
                <w:u w:val="single"/>
              </w:rPr>
              <w:t>227.52</w:t>
            </w:r>
            <w:r>
              <w:rPr>
                <w:rFonts w:hint="eastAsia" w:ascii="Times New Roman" w:hAnsi="Times New Roman" w:cs="Times New Roman"/>
                <w:u w:val="single"/>
              </w:rPr>
              <w:t>m</w:t>
            </w:r>
            <w:r>
              <w:rPr>
                <w:rFonts w:hint="eastAsia" w:ascii="Times New Roman" w:hAnsi="Times New Roman" w:cs="Times New Roman"/>
                <w:u w:val="single"/>
                <w:vertAlign w:val="superscript"/>
              </w:rPr>
              <w:t>3</w:t>
            </w:r>
            <w:r>
              <w:rPr>
                <w:rFonts w:ascii="Times New Roman" w:hAnsi="Times New Roman" w:cs="Times New Roman"/>
                <w:u w:val="single"/>
              </w:rPr>
              <w:t>/d</w:t>
            </w:r>
            <w:r>
              <w:rPr>
                <w:rFonts w:hint="eastAsia"/>
                <w:u w:val="single"/>
              </w:rPr>
              <w:t>，废水排放量仅占罗家坡污水处理厂实际处理规模</w:t>
            </w:r>
            <w:r>
              <w:rPr>
                <w:rFonts w:ascii="Times New Roman" w:hAnsi="Times New Roman" w:cs="Times New Roman"/>
                <w:u w:val="single"/>
              </w:rPr>
              <w:t>的0.46%（罗</w:t>
            </w:r>
            <w:r>
              <w:rPr>
                <w:rFonts w:hint="eastAsia"/>
                <w:u w:val="single"/>
              </w:rPr>
              <w:t>家坡污水处理厂</w:t>
            </w:r>
            <w:r>
              <w:rPr>
                <w:rFonts w:ascii="Times New Roman"/>
                <w:u w:val="single"/>
              </w:rPr>
              <w:t>工程设计日处理污水量为5×10</w:t>
            </w:r>
            <w:r>
              <w:rPr>
                <w:rFonts w:ascii="Times New Roman"/>
                <w:u w:val="single"/>
                <w:vertAlign w:val="superscript"/>
              </w:rPr>
              <w:t>4</w:t>
            </w:r>
            <w:r>
              <w:rPr>
                <w:rFonts w:ascii="Times New Roman"/>
                <w:u w:val="single"/>
              </w:rPr>
              <w:t>m</w:t>
            </w:r>
            <w:r>
              <w:rPr>
                <w:rFonts w:ascii="Times New Roman"/>
                <w:u w:val="single"/>
                <w:vertAlign w:val="superscript"/>
              </w:rPr>
              <w:t>3</w:t>
            </w:r>
            <w:r>
              <w:rPr>
                <w:rFonts w:ascii="Times New Roman"/>
                <w:u w:val="single"/>
              </w:rPr>
              <w:t>/d</w:t>
            </w:r>
            <w:r>
              <w:rPr>
                <w:rFonts w:hint="eastAsia"/>
                <w:u w:val="single"/>
              </w:rPr>
              <w:t>），不会对罗家坡污水处理厂造成冲击。</w:t>
            </w:r>
            <w:r>
              <w:rPr>
                <w:rFonts w:hint="eastAsia" w:ascii="Times New Roman" w:hAnsi="Times New Roman"/>
                <w:u w:val="single"/>
              </w:rPr>
              <w:t>经罗家坡污水处理厂处理后能达《城镇污水处理厂污染物排放标准》（GB18918-2002）一级标准A标准，项目外排废水对附近水体环境影响较小，因此本环评不进行水环境影响预测。</w:t>
            </w:r>
          </w:p>
          <w:p>
            <w:pPr>
              <w:pStyle w:val="6"/>
              <w:ind w:firstLine="482"/>
              <w:outlineLvl w:val="2"/>
            </w:pPr>
            <w:bookmarkStart w:id="78" w:name="_Toc34059547"/>
            <w:r>
              <w:rPr>
                <w:rFonts w:hint="eastAsia"/>
              </w:rPr>
              <w:t>2.3声环境影响分析</w:t>
            </w:r>
            <w:bookmarkEnd w:id="78"/>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（1）噪声防治措施</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项目营运期产生的噪声源主要</w:t>
            </w:r>
            <w:r>
              <w:rPr>
                <w:rFonts w:hint="eastAsia" w:ascii="宋体" w:hAnsi="宋体" w:eastAsia="宋体" w:cs="宋体"/>
                <w:color w:val="000000"/>
                <w:kern w:val="0"/>
                <w:szCs w:val="24"/>
                <w:lang w:bidi="ar"/>
              </w:rPr>
              <w:t>源于配电设备、风机等设备产生的固定源噪声；车辆进出时产生的交通噪声；教学产生的教学噪声</w:t>
            </w:r>
            <w:r>
              <w:rPr>
                <w:rFonts w:ascii="Times New Roman" w:hAnsi="Times New Roman" w:eastAsia="宋体" w:cs="Times New Roman"/>
                <w:color w:val="000000"/>
                <w:kern w:val="0"/>
                <w:szCs w:val="24"/>
                <w:lang w:bidi="ar"/>
              </w:rPr>
              <w:t>，通过距离衰减、</w:t>
            </w:r>
            <w:r>
              <w:rPr>
                <w:rFonts w:hint="eastAsia" w:ascii="Times New Roman" w:hAnsi="Times New Roman" w:eastAsia="宋体" w:cs="Times New Roman"/>
                <w:color w:val="000000"/>
                <w:kern w:val="0"/>
                <w:szCs w:val="24"/>
                <w:lang w:bidi="ar"/>
              </w:rPr>
              <w:t>绿化吸声</w:t>
            </w:r>
            <w:r>
              <w:rPr>
                <w:rFonts w:ascii="Times New Roman" w:hAnsi="Times New Roman" w:eastAsia="宋体" w:cs="Times New Roman"/>
                <w:color w:val="000000"/>
                <w:kern w:val="0"/>
                <w:szCs w:val="24"/>
                <w:lang w:bidi="ar"/>
              </w:rPr>
              <w:t>、空间合理布局，禁止室内喧哗等措施可有效控制噪声对周围环境的影响。</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（2）噪声影响预测</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根据《环境影响评价技术导则 声环境》（HJ2.4—2009）中对噪声源强的分类，项目噪声源按声源性质可以分为流动声源和固定声源两大类，机动车辆为流动声源，场内固定的产噪设备为固定声源。在本项目中，项目噪声源强均为固定声源。因此，本项目根据导则对噪声进行预测。</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噪声源及源强</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项目主要噪声源有</w:t>
            </w:r>
            <w:r>
              <w:rPr>
                <w:rFonts w:hint="eastAsia" w:ascii="Times New Roman" w:hAnsi="Times New Roman" w:eastAsia="宋体" w:cs="Times New Roman"/>
                <w:color w:val="000000"/>
                <w:kern w:val="0"/>
                <w:szCs w:val="24"/>
                <w:lang w:bidi="ar"/>
              </w:rPr>
              <w:t>车辆噪声、教学生活噪声</w:t>
            </w:r>
            <w:r>
              <w:rPr>
                <w:rFonts w:ascii="Times New Roman" w:hAnsi="Times New Roman" w:eastAsia="宋体" w:cs="Times New Roman"/>
                <w:color w:val="000000"/>
                <w:kern w:val="0"/>
                <w:szCs w:val="24"/>
                <w:lang w:bidi="ar"/>
              </w:rPr>
              <w:t>设备运转噪声等，主要噪声源强情况见下表：</w:t>
            </w:r>
          </w:p>
          <w:p>
            <w:pPr>
              <w:widowControl/>
              <w:ind w:firstLine="482" w:firstLineChars="200"/>
              <w:jc w:val="center"/>
              <w:rPr>
                <w:rFonts w:ascii="Times New Roman" w:hAnsi="Times New Roman" w:eastAsia="宋体" w:cs="Times New Roman"/>
                <w:color w:val="000000"/>
                <w:kern w:val="0"/>
                <w:szCs w:val="24"/>
                <w:lang w:bidi="ar"/>
              </w:rPr>
            </w:pPr>
            <w:r>
              <w:rPr>
                <w:rFonts w:ascii="Times New Roman" w:hAnsi="Times New Roman" w:eastAsia="宋体" w:cs="Times New Roman"/>
                <w:b/>
                <w:bCs/>
                <w:color w:val="000000"/>
                <w:kern w:val="0"/>
                <w:szCs w:val="24"/>
                <w:lang w:bidi="ar"/>
              </w:rPr>
              <w:t>表7-21  项目主要噪声情况    dB（A</w:t>
            </w:r>
            <w:r>
              <w:rPr>
                <w:rFonts w:ascii="Times New Roman" w:hAnsi="Times New Roman" w:eastAsia="宋体" w:cs="Times New Roman"/>
                <w:color w:val="000000"/>
                <w:kern w:val="0"/>
                <w:szCs w:val="24"/>
                <w:lang w:bidi="ar"/>
              </w:rPr>
              <w:t>）</w:t>
            </w:r>
          </w:p>
          <w:tbl>
            <w:tblPr>
              <w:tblStyle w:val="24"/>
              <w:tblW w:w="911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1823"/>
              <w:gridCol w:w="1823"/>
              <w:gridCol w:w="1823"/>
              <w:gridCol w:w="182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46" w:type="dxa"/>
                  <w:gridSpan w:val="2"/>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bookmarkStart w:id="79" w:name="_Toc329264018"/>
                  <w:r>
                    <w:rPr>
                      <w:rFonts w:hint="eastAsia" w:ascii="Times New Roman" w:hAnsi="Times New Roman" w:cs="Times New Roman"/>
                      <w:b/>
                      <w:bCs/>
                      <w:sz w:val="21"/>
                      <w:szCs w:val="21"/>
                    </w:rPr>
                    <w:t>噪声源</w:t>
                  </w:r>
                </w:p>
              </w:tc>
              <w:tc>
                <w:tcPr>
                  <w:tcW w:w="1823" w:type="dxa"/>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位置</w:t>
                  </w:r>
                </w:p>
              </w:tc>
              <w:tc>
                <w:tcPr>
                  <w:tcW w:w="1823" w:type="dxa"/>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声压级（dB）</w:t>
                  </w:r>
                </w:p>
              </w:tc>
              <w:tc>
                <w:tcPr>
                  <w:tcW w:w="1824" w:type="dxa"/>
                  <w:tcBorders>
                    <w:bottom w:val="single" w:color="auto" w:sz="12" w:space="0"/>
                  </w:tcBorders>
                  <w:vAlign w:val="center"/>
                </w:tcPr>
                <w:p>
                  <w:pPr>
                    <w:pStyle w:val="32"/>
                    <w:adjustRightInd/>
                    <w:snapToGrid/>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restar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设备噪声</w:t>
                  </w:r>
                </w:p>
              </w:tc>
              <w:tc>
                <w:tcPr>
                  <w:tcW w:w="1823" w:type="dxa"/>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配电设备</w:t>
                  </w:r>
                </w:p>
              </w:tc>
              <w:tc>
                <w:tcPr>
                  <w:tcW w:w="1823" w:type="dxa"/>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配电室</w:t>
                  </w:r>
                </w:p>
              </w:tc>
              <w:tc>
                <w:tcPr>
                  <w:tcW w:w="1823" w:type="dxa"/>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80-85</w:t>
                  </w:r>
                </w:p>
              </w:tc>
              <w:tc>
                <w:tcPr>
                  <w:tcW w:w="1824" w:type="dxa"/>
                  <w:vMerge w:val="restart"/>
                  <w:tcBorders>
                    <w:top w:val="single" w:color="auto" w:sz="12" w:space="0"/>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机械噪声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风机及排气扇</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相关教学室、实验室</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80-85</w:t>
                  </w:r>
                </w:p>
              </w:tc>
              <w:tc>
                <w:tcPr>
                  <w:tcW w:w="1824"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交通噪声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汽车行驶噪声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进出校园</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60-70</w:t>
                  </w:r>
                </w:p>
              </w:tc>
              <w:tc>
                <w:tcPr>
                  <w:tcW w:w="1824"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交通噪声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restar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教学噪声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教育活动</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教学楼</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eastAsia="宋体" w:cs="Times New Roman"/>
                      <w:sz w:val="21"/>
                      <w:szCs w:val="21"/>
                    </w:rPr>
                  </w:pPr>
                  <w:r>
                    <w:rPr>
                      <w:rFonts w:hint="eastAsia" w:hAnsi="宋体" w:eastAsia="宋体" w:cs="宋体"/>
                      <w:sz w:val="21"/>
                      <w:szCs w:val="21"/>
                    </w:rPr>
                    <w:t>&lt;</w:t>
                  </w:r>
                  <w:r>
                    <w:rPr>
                      <w:rFonts w:hint="eastAsia" w:ascii="Times New Roman" w:hAnsi="Times New Roman" w:eastAsia="宋体" w:cs="Times New Roman"/>
                      <w:sz w:val="21"/>
                      <w:szCs w:val="21"/>
                    </w:rPr>
                    <w:t>70</w:t>
                  </w:r>
                </w:p>
              </w:tc>
              <w:tc>
                <w:tcPr>
                  <w:tcW w:w="1824" w:type="dxa"/>
                  <w:vMerge w:val="restart"/>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上课铃声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教学楼</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85</w:t>
                  </w:r>
                </w:p>
              </w:tc>
              <w:tc>
                <w:tcPr>
                  <w:tcW w:w="1824"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广播噪声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85</w:t>
                  </w:r>
                </w:p>
              </w:tc>
              <w:tc>
                <w:tcPr>
                  <w:tcW w:w="1824"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体育课噪声</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r>
                    <w:rPr>
                      <w:rFonts w:hint="eastAsia" w:ascii="Times New Roman" w:hAnsi="Times New Roman" w:cs="Times New Roman"/>
                      <w:sz w:val="21"/>
                      <w:szCs w:val="21"/>
                    </w:rPr>
                    <w:t>运动场</w:t>
                  </w:r>
                </w:p>
              </w:tc>
              <w:tc>
                <w:tcPr>
                  <w:tcW w:w="1823" w:type="dxa"/>
                  <w:tcBorders>
                    <w:tl2br w:val="nil"/>
                    <w:tr2bl w:val="nil"/>
                  </w:tcBorders>
                  <w:vAlign w:val="center"/>
                </w:tcPr>
                <w:p>
                  <w:pPr>
                    <w:pStyle w:val="32"/>
                    <w:adjustRightInd/>
                    <w:snapToGrid/>
                    <w:spacing w:line="240" w:lineRule="auto"/>
                    <w:ind w:firstLine="0" w:firstLineChars="0"/>
                    <w:jc w:val="center"/>
                    <w:rPr>
                      <w:rFonts w:ascii="Times New Roman" w:hAnsi="Times New Roman" w:eastAsia="宋体" w:cs="Times New Roman"/>
                      <w:sz w:val="21"/>
                      <w:szCs w:val="21"/>
                    </w:rPr>
                  </w:pPr>
                  <w:r>
                    <w:rPr>
                      <w:rFonts w:hint="eastAsia" w:hAnsi="宋体" w:eastAsia="宋体" w:cs="宋体"/>
                      <w:sz w:val="21"/>
                      <w:szCs w:val="21"/>
                    </w:rPr>
                    <w:t>&lt;</w:t>
                  </w:r>
                  <w:r>
                    <w:rPr>
                      <w:rFonts w:hint="eastAsia" w:ascii="Times New Roman" w:hAnsi="Times New Roman" w:eastAsia="宋体" w:cs="Times New Roman"/>
                      <w:sz w:val="21"/>
                      <w:szCs w:val="21"/>
                    </w:rPr>
                    <w:t>80</w:t>
                  </w:r>
                </w:p>
              </w:tc>
              <w:tc>
                <w:tcPr>
                  <w:tcW w:w="1824" w:type="dxa"/>
                  <w:vMerge w:val="continue"/>
                  <w:tcBorders>
                    <w:tl2br w:val="nil"/>
                    <w:tr2bl w:val="nil"/>
                  </w:tcBorders>
                  <w:vAlign w:val="center"/>
                </w:tcPr>
                <w:p>
                  <w:pPr>
                    <w:pStyle w:val="32"/>
                    <w:adjustRightInd/>
                    <w:snapToGrid/>
                    <w:spacing w:line="240" w:lineRule="auto"/>
                    <w:ind w:firstLine="0" w:firstLineChars="0"/>
                    <w:jc w:val="center"/>
                    <w:rPr>
                      <w:rFonts w:ascii="Times New Roman" w:hAnsi="Times New Roman" w:cs="Times New Roman"/>
                      <w:sz w:val="21"/>
                      <w:szCs w:val="21"/>
                    </w:rPr>
                  </w:pPr>
                </w:p>
              </w:tc>
            </w:tr>
          </w:tbl>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预测模式</w:t>
            </w:r>
            <w:bookmarkEnd w:id="79"/>
            <w:r>
              <w:rPr>
                <w:rFonts w:ascii="Times New Roman" w:hAnsi="Times New Roman" w:eastAsia="宋体" w:cs="Times New Roman"/>
                <w:color w:val="000000"/>
                <w:kern w:val="0"/>
                <w:szCs w:val="24"/>
                <w:lang w:bidi="ar"/>
              </w:rPr>
              <w:t>的选取</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根据《环境影响评价技术导则 声环境》（HJ2.4-2009）的技术要求，本次评价采取导则上推荐模式。</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a）声级计算</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建设项目声源在预测点产生的等效声级贡献值（Leqg）计算公式：</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drawing>
                <wp:anchor distT="0" distB="0" distL="114300" distR="114300" simplePos="0" relativeHeight="251634688" behindDoc="0" locked="0" layoutInCell="1" allowOverlap="1">
                  <wp:simplePos x="0" y="0"/>
                  <wp:positionH relativeFrom="column">
                    <wp:posOffset>1289685</wp:posOffset>
                  </wp:positionH>
                  <wp:positionV relativeFrom="paragraph">
                    <wp:posOffset>149860</wp:posOffset>
                  </wp:positionV>
                  <wp:extent cx="2514600" cy="438150"/>
                  <wp:effectExtent l="0" t="0" r="0" b="0"/>
                  <wp:wrapNone/>
                  <wp:docPr id="5" name="图片 1" descr=")Z}4G1R2{ZNO[B]2AJ]O65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Z}4G1R2{ZNO[B]2AJ]O65K"/>
                          <pic:cNvPicPr>
                            <a:picLocks noChangeAspect="1"/>
                          </pic:cNvPicPr>
                        </pic:nvPicPr>
                        <pic:blipFill>
                          <a:blip r:embed="rId17"/>
                          <a:stretch>
                            <a:fillRect/>
                          </a:stretch>
                        </pic:blipFill>
                        <pic:spPr>
                          <a:xfrm>
                            <a:off x="0" y="0"/>
                            <a:ext cx="2514600" cy="438150"/>
                          </a:xfrm>
                          <a:prstGeom prst="rect">
                            <a:avLst/>
                          </a:prstGeom>
                          <a:noFill/>
                          <a:ln>
                            <a:noFill/>
                          </a:ln>
                        </pic:spPr>
                      </pic:pic>
                    </a:graphicData>
                  </a:graphic>
                </wp:anchor>
              </w:drawing>
            </w:r>
          </w:p>
          <w:p>
            <w:pPr>
              <w:widowControl/>
              <w:ind w:firstLine="480" w:firstLineChars="200"/>
              <w:jc w:val="left"/>
              <w:rPr>
                <w:rFonts w:ascii="Times New Roman" w:hAnsi="Times New Roman" w:eastAsia="宋体" w:cs="Times New Roman"/>
                <w:color w:val="000000"/>
                <w:kern w:val="0"/>
                <w:szCs w:val="24"/>
                <w:lang w:bidi="ar"/>
              </w:rPr>
            </w:pP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式中：</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Leqg---建设项目声源在预测点的等效声级贡献值，dB（A）；</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LAi ---i声源在预测点产生的A声级，dB（A）；</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T  ---预测计算的时间段，s；</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ti  ---i声源在T时段内的运行时间，s。</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b）预测点的预测等效声级(L eq )计算公式</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drawing>
                <wp:anchor distT="0" distB="0" distL="114300" distR="114300" simplePos="0" relativeHeight="251638784" behindDoc="0" locked="0" layoutInCell="1" allowOverlap="1">
                  <wp:simplePos x="0" y="0"/>
                  <wp:positionH relativeFrom="column">
                    <wp:posOffset>1689100</wp:posOffset>
                  </wp:positionH>
                  <wp:positionV relativeFrom="paragraph">
                    <wp:posOffset>36830</wp:posOffset>
                  </wp:positionV>
                  <wp:extent cx="2430145" cy="302260"/>
                  <wp:effectExtent l="0" t="0" r="8890" b="2540"/>
                  <wp:wrapNone/>
                  <wp:docPr id="6" name="图片 2" descr="PP7]RBW1%K)O_4{0H@YV2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PP7]RBW1%K)O_4{0H@YV2M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430000" cy="302400"/>
                          </a:xfrm>
                          <a:prstGeom prst="rect">
                            <a:avLst/>
                          </a:prstGeom>
                          <a:noFill/>
                          <a:ln>
                            <a:noFill/>
                          </a:ln>
                        </pic:spPr>
                      </pic:pic>
                    </a:graphicData>
                  </a:graphic>
                </wp:anchor>
              </w:drawing>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式中：</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Leqg —建设项目声源在预测点的等效声级贡献值，dB(A)；</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Leqb — 预测点的背景值，dB(A)</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c）户外声传播衰减计算</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户外声传播衰减包括几何发散（Adiv）、大气吸收（Aatm）、地面效应（Agr）屏障屏蔽（Abar）、其他多方面效应（Amisc）引起的衰减。</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距声源点r处的A声级按下式计算：</w:t>
            </w:r>
          </w:p>
          <w:p>
            <w:pPr>
              <w:widowControl/>
              <w:ind w:firstLine="480" w:firstLineChars="200"/>
              <w:jc w:val="left"/>
              <w:rPr>
                <w:rFonts w:ascii="Times New Roman" w:hAnsi="Times New Roman" w:eastAsia="宋体" w:cs="Times New Roman"/>
                <w:color w:val="000000"/>
                <w:kern w:val="0"/>
                <w:szCs w:val="24"/>
                <w:lang w:val="pt-BR" w:bidi="ar"/>
              </w:rPr>
            </w:pPr>
            <w:r>
              <w:rPr>
                <w:rFonts w:ascii="Times New Roman" w:hAnsi="Times New Roman" w:eastAsia="宋体" w:cs="Times New Roman"/>
                <w:color w:val="000000"/>
                <w:kern w:val="0"/>
                <w:szCs w:val="24"/>
                <w:lang w:val="pt-BR" w:bidi="ar"/>
              </w:rPr>
              <w:t>Lp（r）=Lp（r0）-（Adiv + Aatm + Agr + Abar + Amisc）</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在预测中考虑大气吸收衰减、室内声源等效室外声源等影响和计算方法。</w:t>
            </w:r>
            <w:bookmarkStart w:id="80" w:name="_Toc329264019"/>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预测结果</w:t>
            </w:r>
            <w:bookmarkEnd w:id="80"/>
          </w:p>
          <w:p>
            <w:pPr>
              <w:widowControl/>
              <w:ind w:firstLine="480" w:firstLineChars="200"/>
              <w:jc w:val="left"/>
              <w:rPr>
                <w:rFonts w:ascii="Times New Roman" w:hAnsi="Times New Roman" w:eastAsia="宋体" w:cs="Times New Roman"/>
                <w:color w:val="000000"/>
                <w:kern w:val="0"/>
                <w:szCs w:val="24"/>
                <w:highlight w:val="yellow"/>
                <w:lang w:bidi="ar"/>
              </w:rPr>
            </w:pPr>
            <w:r>
              <w:rPr>
                <w:rFonts w:ascii="Times New Roman" w:hAnsi="Times New Roman" w:eastAsia="宋体" w:cs="Times New Roman"/>
                <w:color w:val="000000"/>
                <w:kern w:val="0"/>
                <w:szCs w:val="24"/>
                <w:lang w:bidi="ar"/>
              </w:rPr>
              <w:t>根据项目厂区总平面布置可知，利用上述的预测评价数学模型，将噪声源强、源强距离厂界距离等有关参数带入公式计算预测项目噪声源同时产生噪声的最不利情况下的厂界噪声，各厂界的预测结果见表7-22：</w:t>
            </w:r>
          </w:p>
          <w:p>
            <w:pPr>
              <w:widowControl/>
              <w:ind w:firstLine="482" w:firstLineChars="200"/>
              <w:jc w:val="center"/>
              <w:rPr>
                <w:rFonts w:ascii="Times New Roman" w:hAnsi="Times New Roman" w:eastAsia="宋体" w:cs="Times New Roman"/>
                <w:color w:val="000000"/>
                <w:kern w:val="0"/>
                <w:szCs w:val="24"/>
                <w:lang w:bidi="ar"/>
              </w:rPr>
            </w:pPr>
            <w:r>
              <w:rPr>
                <w:rFonts w:ascii="Times New Roman" w:hAnsi="Times New Roman" w:eastAsia="宋体" w:cs="Times New Roman"/>
                <w:b/>
                <w:bCs/>
                <w:color w:val="000000"/>
                <w:kern w:val="0"/>
                <w:szCs w:val="24"/>
                <w:lang w:bidi="ar"/>
              </w:rPr>
              <w:t>表7-22  噪声预测结果一览表</w:t>
            </w:r>
          </w:p>
          <w:tbl>
            <w:tblPr>
              <w:tblStyle w:val="24"/>
              <w:tblW w:w="916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1065"/>
              <w:gridCol w:w="1770"/>
              <w:gridCol w:w="1110"/>
              <w:gridCol w:w="945"/>
              <w:gridCol w:w="1080"/>
              <w:gridCol w:w="885"/>
              <w:gridCol w:w="853"/>
              <w:gridCol w:w="8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9" w:type="dxa"/>
                  <w:vMerge w:val="restart"/>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序号</w:t>
                  </w:r>
                </w:p>
              </w:tc>
              <w:tc>
                <w:tcPr>
                  <w:tcW w:w="1065" w:type="dxa"/>
                  <w:vMerge w:val="restart"/>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点位</w:t>
                  </w:r>
                </w:p>
              </w:tc>
              <w:tc>
                <w:tcPr>
                  <w:tcW w:w="1770" w:type="dxa"/>
                  <w:vMerge w:val="restart"/>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预测点距本项目边界水平距离</w:t>
                  </w:r>
                </w:p>
              </w:tc>
              <w:tc>
                <w:tcPr>
                  <w:tcW w:w="2055" w:type="dxa"/>
                  <w:gridSpan w:val="2"/>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背景值</w:t>
                  </w:r>
                </w:p>
              </w:tc>
              <w:tc>
                <w:tcPr>
                  <w:tcW w:w="1965" w:type="dxa"/>
                  <w:gridSpan w:val="2"/>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贡献值</w:t>
                  </w:r>
                </w:p>
              </w:tc>
              <w:tc>
                <w:tcPr>
                  <w:tcW w:w="1707" w:type="dxa"/>
                  <w:gridSpan w:val="2"/>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hint="eastAsia" w:ascii="Times New Roman" w:hAnsi="Times New Roman" w:eastAsia="宋体" w:cs="Times New Roman"/>
                      <w:b/>
                      <w:bCs/>
                      <w:color w:val="000000"/>
                      <w:kern w:val="0"/>
                      <w:sz w:val="21"/>
                      <w:szCs w:val="21"/>
                      <w:lang w:bidi="ar"/>
                    </w:rPr>
                    <w:t>标准</w:t>
                  </w:r>
                  <w:r>
                    <w:rPr>
                      <w:rFonts w:ascii="Times New Roman" w:hAnsi="Times New Roman" w:eastAsia="宋体" w:cs="Times New Roman"/>
                      <w:b/>
                      <w:bCs/>
                      <w:color w:val="000000"/>
                      <w:kern w:val="0"/>
                      <w:sz w:val="21"/>
                      <w:szCs w:val="21"/>
                      <w:lang w:bidi="ar"/>
                    </w:rPr>
                    <w:t>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9" w:type="dxa"/>
                  <w:vMerge w:val="continue"/>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p>
              </w:tc>
              <w:tc>
                <w:tcPr>
                  <w:tcW w:w="1065" w:type="dxa"/>
                  <w:vMerge w:val="continue"/>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p>
              </w:tc>
              <w:tc>
                <w:tcPr>
                  <w:tcW w:w="1770" w:type="dxa"/>
                  <w:vMerge w:val="continue"/>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p>
              </w:tc>
              <w:tc>
                <w:tcPr>
                  <w:tcW w:w="1110"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昼间</w:t>
                  </w:r>
                </w:p>
              </w:tc>
              <w:tc>
                <w:tcPr>
                  <w:tcW w:w="945"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夜间</w:t>
                  </w:r>
                </w:p>
              </w:tc>
              <w:tc>
                <w:tcPr>
                  <w:tcW w:w="1080"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昼间</w:t>
                  </w:r>
                </w:p>
              </w:tc>
              <w:tc>
                <w:tcPr>
                  <w:tcW w:w="885"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夜间</w:t>
                  </w:r>
                </w:p>
              </w:tc>
              <w:tc>
                <w:tcPr>
                  <w:tcW w:w="853"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昼间</w:t>
                  </w:r>
                </w:p>
              </w:tc>
              <w:tc>
                <w:tcPr>
                  <w:tcW w:w="854" w:type="dxa"/>
                  <w:tcBorders>
                    <w:bottom w:val="single" w:color="auto" w:sz="12" w:space="0"/>
                  </w:tcBorders>
                  <w:vAlign w:val="center"/>
                </w:tcPr>
                <w:p>
                  <w:pPr>
                    <w:widowControl/>
                    <w:spacing w:line="240" w:lineRule="auto"/>
                    <w:jc w:val="center"/>
                    <w:rPr>
                      <w:rFonts w:ascii="Times New Roman" w:hAnsi="Times New Roman" w:eastAsia="宋体" w:cs="Times New Roman"/>
                      <w:b/>
                      <w:bCs/>
                      <w:color w:val="000000"/>
                      <w:kern w:val="0"/>
                      <w:sz w:val="21"/>
                      <w:szCs w:val="21"/>
                      <w:lang w:bidi="ar"/>
                    </w:rPr>
                  </w:pPr>
                  <w:r>
                    <w:rPr>
                      <w:rFonts w:ascii="Times New Roman" w:hAnsi="Times New Roman" w:eastAsia="宋体" w:cs="Times New Roman"/>
                      <w:b/>
                      <w:bCs/>
                      <w:color w:val="000000"/>
                      <w:kern w:val="0"/>
                      <w:sz w:val="21"/>
                      <w:szCs w:val="21"/>
                      <w:lang w:bidi="ar"/>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9"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1</w:t>
                  </w:r>
                </w:p>
              </w:tc>
              <w:tc>
                <w:tcPr>
                  <w:tcW w:w="1065"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东厂界</w:t>
                  </w:r>
                </w:p>
              </w:tc>
              <w:tc>
                <w:tcPr>
                  <w:tcW w:w="1770"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1米</w:t>
                  </w:r>
                </w:p>
              </w:tc>
              <w:tc>
                <w:tcPr>
                  <w:tcW w:w="1110"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54.1</w:t>
                  </w:r>
                </w:p>
              </w:tc>
              <w:tc>
                <w:tcPr>
                  <w:tcW w:w="945"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48.4</w:t>
                  </w:r>
                </w:p>
              </w:tc>
              <w:tc>
                <w:tcPr>
                  <w:tcW w:w="1080"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53.8</w:t>
                  </w:r>
                </w:p>
              </w:tc>
              <w:tc>
                <w:tcPr>
                  <w:tcW w:w="885" w:type="dxa"/>
                  <w:tcBorders>
                    <w:top w:val="single" w:color="auto" w:sz="12" w:space="0"/>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46.9</w:t>
                  </w:r>
                </w:p>
              </w:tc>
              <w:tc>
                <w:tcPr>
                  <w:tcW w:w="853" w:type="dxa"/>
                  <w:vMerge w:val="restart"/>
                  <w:tcBorders>
                    <w:top w:val="single" w:color="auto" w:sz="12" w:space="0"/>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60</w:t>
                  </w:r>
                </w:p>
              </w:tc>
              <w:tc>
                <w:tcPr>
                  <w:tcW w:w="854" w:type="dxa"/>
                  <w:vMerge w:val="restart"/>
                  <w:tcBorders>
                    <w:top w:val="single" w:color="auto" w:sz="12" w:space="0"/>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9"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w:t>
                  </w:r>
                </w:p>
              </w:tc>
              <w:tc>
                <w:tcPr>
                  <w:tcW w:w="106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南厂界</w:t>
                  </w:r>
                </w:p>
              </w:tc>
              <w:tc>
                <w:tcPr>
                  <w:tcW w:w="177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1米</w:t>
                  </w:r>
                </w:p>
              </w:tc>
              <w:tc>
                <w:tcPr>
                  <w:tcW w:w="111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52.1</w:t>
                  </w:r>
                </w:p>
              </w:tc>
              <w:tc>
                <w:tcPr>
                  <w:tcW w:w="94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44.8</w:t>
                  </w:r>
                </w:p>
              </w:tc>
              <w:tc>
                <w:tcPr>
                  <w:tcW w:w="108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53.6</w:t>
                  </w:r>
                </w:p>
              </w:tc>
              <w:tc>
                <w:tcPr>
                  <w:tcW w:w="88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43.1</w:t>
                  </w:r>
                </w:p>
              </w:tc>
              <w:tc>
                <w:tcPr>
                  <w:tcW w:w="853" w:type="dxa"/>
                  <w:vMerge w:val="continue"/>
                  <w:tcBorders>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p>
              </w:tc>
              <w:tc>
                <w:tcPr>
                  <w:tcW w:w="854" w:type="dxa"/>
                  <w:vMerge w:val="continue"/>
                  <w:tcBorders>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99"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3</w:t>
                  </w:r>
                </w:p>
              </w:tc>
              <w:tc>
                <w:tcPr>
                  <w:tcW w:w="106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西厂界</w:t>
                  </w:r>
                </w:p>
              </w:tc>
              <w:tc>
                <w:tcPr>
                  <w:tcW w:w="177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1米</w:t>
                  </w:r>
                </w:p>
              </w:tc>
              <w:tc>
                <w:tcPr>
                  <w:tcW w:w="111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49.2</w:t>
                  </w:r>
                </w:p>
              </w:tc>
              <w:tc>
                <w:tcPr>
                  <w:tcW w:w="94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40.8</w:t>
                  </w:r>
                </w:p>
              </w:tc>
              <w:tc>
                <w:tcPr>
                  <w:tcW w:w="108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40.3</w:t>
                  </w:r>
                </w:p>
              </w:tc>
              <w:tc>
                <w:tcPr>
                  <w:tcW w:w="88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41.2</w:t>
                  </w:r>
                </w:p>
              </w:tc>
              <w:tc>
                <w:tcPr>
                  <w:tcW w:w="853" w:type="dxa"/>
                  <w:vMerge w:val="continue"/>
                  <w:tcBorders>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p>
              </w:tc>
              <w:tc>
                <w:tcPr>
                  <w:tcW w:w="854" w:type="dxa"/>
                  <w:vMerge w:val="continue"/>
                  <w:tcBorders>
                    <w:tl2br w:val="nil"/>
                    <w:tr2bl w:val="nil"/>
                  </w:tcBorders>
                  <w:vAlign w:val="center"/>
                </w:tcPr>
                <w:p>
                  <w:pPr>
                    <w:spacing w:line="240" w:lineRule="auto"/>
                    <w:jc w:val="center"/>
                    <w:rPr>
                      <w:rFonts w:ascii="Times New Roman" w:hAnsi="Times New Roman" w:eastAsia="宋体" w:cs="Times New Roman"/>
                      <w:color w:val="000000"/>
                      <w:kern w:val="0"/>
                      <w:sz w:val="21"/>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9"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w:t>
                  </w:r>
                </w:p>
              </w:tc>
              <w:tc>
                <w:tcPr>
                  <w:tcW w:w="106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北厂界</w:t>
                  </w:r>
                </w:p>
              </w:tc>
              <w:tc>
                <w:tcPr>
                  <w:tcW w:w="177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1米</w:t>
                  </w:r>
                </w:p>
              </w:tc>
              <w:tc>
                <w:tcPr>
                  <w:tcW w:w="111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50.3</w:t>
                  </w:r>
                </w:p>
              </w:tc>
              <w:tc>
                <w:tcPr>
                  <w:tcW w:w="94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42.9</w:t>
                  </w:r>
                </w:p>
              </w:tc>
              <w:tc>
                <w:tcPr>
                  <w:tcW w:w="1080"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48</w:t>
                  </w:r>
                </w:p>
              </w:tc>
              <w:tc>
                <w:tcPr>
                  <w:tcW w:w="885" w:type="dxa"/>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43.5</w:t>
                  </w:r>
                </w:p>
              </w:tc>
              <w:tc>
                <w:tcPr>
                  <w:tcW w:w="853" w:type="dxa"/>
                  <w:vMerge w:val="continue"/>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p>
              </w:tc>
              <w:tc>
                <w:tcPr>
                  <w:tcW w:w="854" w:type="dxa"/>
                  <w:vMerge w:val="continue"/>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gridSpan w:val="2"/>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排放限值</w:t>
                  </w:r>
                </w:p>
              </w:tc>
              <w:tc>
                <w:tcPr>
                  <w:tcW w:w="7497" w:type="dxa"/>
                  <w:gridSpan w:val="7"/>
                  <w:tcBorders>
                    <w:tl2br w:val="nil"/>
                    <w:tr2bl w:val="nil"/>
                  </w:tcBorders>
                  <w:vAlign w:val="center"/>
                </w:tcPr>
                <w:p>
                  <w:pPr>
                    <w:widowControl/>
                    <w:spacing w:line="240" w:lineRule="auto"/>
                    <w:jc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昼间≤60dB（A）；夜间≤50dB（A）</w:t>
                  </w:r>
                </w:p>
              </w:tc>
            </w:tr>
          </w:tbl>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从上述预测结果可以看出，在采取了降噪措施后，本项目各厂界噪声均能满足《社会生活环境噪声排放标准》（GB22337-2008）2类标准要求。因此，本项目运营期噪声对周边声环境质量和环境敏感目标影响较小。</w:t>
            </w:r>
          </w:p>
          <w:p>
            <w:pPr>
              <w:pStyle w:val="6"/>
              <w:ind w:firstLine="482"/>
              <w:outlineLvl w:val="2"/>
            </w:pPr>
            <w:bookmarkStart w:id="81" w:name="_Toc34059548"/>
            <w:r>
              <w:rPr>
                <w:rFonts w:hint="eastAsia"/>
              </w:rPr>
              <w:t>2.4固体废物环境影响分析</w:t>
            </w:r>
            <w:bookmarkEnd w:id="81"/>
          </w:p>
          <w:p>
            <w:pPr>
              <w:widowControl/>
              <w:ind w:firstLine="480" w:firstLineChars="200"/>
              <w:jc w:val="left"/>
              <w:rPr>
                <w:rFonts w:ascii="Times New Roman" w:hAnsi="Times New Roman" w:eastAsia="宋体" w:cs="Times New Roman"/>
                <w:color w:val="000000"/>
                <w:kern w:val="0"/>
                <w:szCs w:val="24"/>
                <w:lang w:bidi="ar"/>
              </w:rPr>
            </w:pPr>
            <w:r>
              <w:rPr>
                <w:rFonts w:hint="eastAsia" w:ascii="Times New Roman" w:hAnsi="Times New Roman" w:eastAsia="宋体" w:cs="Times New Roman"/>
                <w:color w:val="000000"/>
                <w:kern w:val="0"/>
                <w:szCs w:val="24"/>
                <w:lang w:bidi="ar"/>
              </w:rPr>
              <w:t>营运期固体废物主要为生活垃圾、餐厨垃圾、实验室产生的少量实验废物、污泥、医疗废物等。</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（1）生活垃圾</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建设项目生活垃圾的产生量为269t/a，生活垃圾由校内垃圾桶收集，由校内环卫人员</w:t>
            </w:r>
            <w:r>
              <w:rPr>
                <w:rFonts w:hint="eastAsia" w:ascii="Times New Roman" w:hAnsi="Times New Roman" w:eastAsia="宋体" w:cs="Times New Roman"/>
                <w:color w:val="000000"/>
                <w:kern w:val="0"/>
                <w:szCs w:val="24"/>
                <w:lang w:bidi="ar"/>
              </w:rPr>
              <w:t>利用垃圾收集船每天收集2次</w:t>
            </w:r>
            <w:r>
              <w:rPr>
                <w:rFonts w:ascii="Times New Roman" w:hAnsi="Times New Roman" w:eastAsia="宋体" w:cs="Times New Roman"/>
                <w:color w:val="000000"/>
                <w:kern w:val="0"/>
                <w:szCs w:val="24"/>
                <w:lang w:bidi="ar"/>
              </w:rPr>
              <w:t>，</w:t>
            </w:r>
            <w:r>
              <w:rPr>
                <w:rFonts w:hint="eastAsia" w:ascii="Times New Roman" w:hAnsi="Times New Roman" w:eastAsia="宋体" w:cs="Times New Roman"/>
                <w:color w:val="000000"/>
                <w:kern w:val="0"/>
                <w:szCs w:val="24"/>
                <w:lang w:bidi="ar"/>
              </w:rPr>
              <w:t>交</w:t>
            </w:r>
            <w:r>
              <w:rPr>
                <w:rFonts w:ascii="Times New Roman" w:hAnsi="Times New Roman" w:eastAsia="宋体" w:cs="Times New Roman"/>
                <w:color w:val="000000"/>
                <w:kern w:val="0"/>
                <w:szCs w:val="24"/>
                <w:lang w:bidi="ar"/>
              </w:rPr>
              <w:t>由环卫部门统一收集外运处理，日产日清。因此，生活垃圾对外环境影响较小</w:t>
            </w:r>
            <w:r>
              <w:rPr>
                <w:rFonts w:hint="eastAsia" w:ascii="Times New Roman" w:hAnsi="Times New Roman" w:eastAsia="宋体" w:cs="Times New Roman"/>
                <w:color w:val="000000"/>
                <w:kern w:val="0"/>
                <w:szCs w:val="24"/>
                <w:lang w:bidi="ar"/>
              </w:rPr>
              <w:t>。</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（2）餐厨垃圾</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建设项目食堂餐厨垃圾产生量约为5.6t/a，餐厨垃圾经收集后交由有资质的单位处理后，可作为动物饲料进行综合利用，对环境影响较小。</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根据《饮食业环境保护技术规范》中对饮食业固体废物的控制要求，本环评要求建设单位①设置专门的空间处理餐饮垃圾，不宜设在厨房等有卫生要求的房间内；②餐厨垃圾应当单独收集、存放，禁止与一次性餐饮具、酒水饮料容器、塑料台布等其他固体生活垃圾相混合；③设置符合标准的餐厨垃圾收集容器，不得裸露存放餐厨垃圾并保持收集容器及周边环境的干净整洁；收集容器应当保持完好和密闭，并标明餐厨垃圾收集容器字样；④按照环境保护的要求设置油水分离器或者油水隔离池等污染防治设施，并保持其正常使用；⑤及时将餐厨垃圾交由取得许可的餐厨垃圾收集运输单位收运，做到日产日清。</w:t>
            </w:r>
          </w:p>
          <w:p>
            <w:pPr>
              <w:widowControl/>
              <w:ind w:firstLine="480" w:firstLineChars="200"/>
              <w:jc w:val="left"/>
              <w:rPr>
                <w:rFonts w:ascii="Times New Roman" w:hAnsi="Times New Roman" w:eastAsia="宋体" w:cs="Times New Roman"/>
                <w:color w:val="000000"/>
                <w:kern w:val="0"/>
                <w:szCs w:val="24"/>
                <w:highlight w:val="yellow"/>
                <w:lang w:bidi="ar"/>
              </w:rPr>
            </w:pPr>
            <w:r>
              <w:rPr>
                <w:rFonts w:ascii="Times New Roman" w:hAnsi="Times New Roman" w:eastAsia="宋体" w:cs="Times New Roman"/>
                <w:color w:val="000000"/>
                <w:kern w:val="0"/>
                <w:szCs w:val="24"/>
                <w:lang w:bidi="ar"/>
              </w:rPr>
              <w:t>（3）实验室固废</w:t>
            </w:r>
          </w:p>
          <w:p>
            <w:pPr>
              <w:widowControl/>
              <w:ind w:firstLine="480" w:firstLineChars="200"/>
              <w:jc w:val="left"/>
              <w:rPr>
                <w:rFonts w:ascii="Times New Roman" w:hAnsi="Times New Roman" w:eastAsia="宋体" w:cs="Times New Roman"/>
                <w:kern w:val="0"/>
                <w:szCs w:val="24"/>
                <w:u w:val="single"/>
                <w:lang w:bidi="ar"/>
              </w:rPr>
            </w:pPr>
            <w:r>
              <w:rPr>
                <w:rFonts w:hint="eastAsia" w:ascii="Times New Roman" w:hAnsi="Times New Roman" w:eastAsia="宋体" w:cs="Times New Roman"/>
                <w:color w:val="000000"/>
                <w:kern w:val="0"/>
                <w:szCs w:val="24"/>
                <w:u w:val="single"/>
                <w:lang w:bidi="ar"/>
              </w:rPr>
              <w:t>实验室产生的废酸为0</w:t>
            </w:r>
            <w:r>
              <w:rPr>
                <w:rFonts w:ascii="Times New Roman" w:hAnsi="Times New Roman" w:eastAsia="宋体" w:cs="Times New Roman"/>
                <w:color w:val="000000"/>
                <w:kern w:val="0"/>
                <w:szCs w:val="24"/>
                <w:u w:val="single"/>
                <w:lang w:bidi="ar"/>
              </w:rPr>
              <w:t>.35t/a</w:t>
            </w:r>
            <w:r>
              <w:rPr>
                <w:rFonts w:hint="eastAsia" w:ascii="Times New Roman" w:hAnsi="Times New Roman" w:eastAsia="宋体" w:cs="Times New Roman"/>
                <w:color w:val="000000"/>
                <w:kern w:val="0"/>
                <w:szCs w:val="24"/>
                <w:u w:val="single"/>
                <w:lang w:bidi="ar"/>
              </w:rPr>
              <w:t>，废碱为0</w:t>
            </w:r>
            <w:r>
              <w:rPr>
                <w:rFonts w:ascii="Times New Roman" w:hAnsi="Times New Roman" w:eastAsia="宋体" w:cs="Times New Roman"/>
                <w:color w:val="000000"/>
                <w:kern w:val="0"/>
                <w:szCs w:val="24"/>
                <w:u w:val="single"/>
                <w:lang w:bidi="ar"/>
              </w:rPr>
              <w:t>.35t/a</w:t>
            </w:r>
            <w:r>
              <w:rPr>
                <w:rFonts w:hint="eastAsia" w:ascii="Times New Roman" w:hAnsi="Times New Roman" w:eastAsia="宋体" w:cs="Times New Roman"/>
                <w:color w:val="000000"/>
                <w:kern w:val="0"/>
                <w:szCs w:val="24"/>
                <w:u w:val="single"/>
                <w:lang w:bidi="ar"/>
              </w:rPr>
              <w:t>，废包装容器0</w:t>
            </w:r>
            <w:r>
              <w:rPr>
                <w:rFonts w:ascii="Times New Roman" w:hAnsi="Times New Roman" w:eastAsia="宋体" w:cs="Times New Roman"/>
                <w:color w:val="000000"/>
                <w:kern w:val="0"/>
                <w:szCs w:val="24"/>
                <w:u w:val="single"/>
                <w:lang w:bidi="ar"/>
              </w:rPr>
              <w:t>.5t/a</w:t>
            </w:r>
            <w:r>
              <w:rPr>
                <w:rFonts w:hint="eastAsia" w:ascii="Times New Roman" w:hAnsi="Times New Roman" w:eastAsia="宋体" w:cs="Times New Roman"/>
                <w:color w:val="000000"/>
                <w:kern w:val="0"/>
                <w:szCs w:val="24"/>
                <w:u w:val="single"/>
                <w:lang w:bidi="ar"/>
              </w:rPr>
              <w:t>，生物培养基0</w:t>
            </w:r>
            <w:r>
              <w:rPr>
                <w:rFonts w:ascii="Times New Roman" w:hAnsi="Times New Roman" w:eastAsia="宋体" w:cs="Times New Roman"/>
                <w:color w:val="000000"/>
                <w:kern w:val="0"/>
                <w:szCs w:val="24"/>
                <w:u w:val="single"/>
                <w:lang w:bidi="ar"/>
              </w:rPr>
              <w:t>.1t/a</w:t>
            </w:r>
            <w:r>
              <w:rPr>
                <w:rFonts w:hint="eastAsia" w:ascii="Times New Roman" w:hAnsi="Times New Roman" w:eastAsia="宋体" w:cs="Times New Roman"/>
                <w:color w:val="000000"/>
                <w:kern w:val="0"/>
                <w:szCs w:val="24"/>
                <w:u w:val="single"/>
                <w:lang w:bidi="ar"/>
              </w:rPr>
              <w:t>、化学实验室清洗废液8</w:t>
            </w:r>
            <w:r>
              <w:rPr>
                <w:rFonts w:ascii="Times New Roman" w:hAnsi="Times New Roman" w:eastAsia="宋体" w:cs="Times New Roman"/>
                <w:color w:val="000000"/>
                <w:kern w:val="0"/>
                <w:szCs w:val="24"/>
                <w:u w:val="single"/>
                <w:lang w:bidi="ar"/>
              </w:rPr>
              <w:t>0</w:t>
            </w:r>
            <w:r>
              <w:rPr>
                <w:rFonts w:hint="eastAsia" w:ascii="Times New Roman" w:hAnsi="Times New Roman" w:eastAsia="宋体" w:cs="Times New Roman"/>
                <w:color w:val="000000"/>
                <w:kern w:val="0"/>
                <w:szCs w:val="24"/>
                <w:u w:val="single"/>
                <w:lang w:bidi="ar"/>
              </w:rPr>
              <w:t>t/a。</w:t>
            </w:r>
            <w:r>
              <w:rPr>
                <w:rFonts w:ascii="Times New Roman" w:hAnsi="Times New Roman" w:eastAsia="宋体" w:cs="Times New Roman"/>
                <w:color w:val="000000"/>
                <w:kern w:val="0"/>
                <w:szCs w:val="24"/>
                <w:u w:val="single"/>
                <w:lang w:bidi="ar"/>
              </w:rPr>
              <w:t>实验垃圾应进行分类存放及处理，要按“可回收物”、“不可回收物”、 “危险物品”分别放置，一般固废可由环卫部门统一收集处理。实验室的危险废物如化学试剂包装材料、废瓶应分类并用塑料袋封装并集中存放，定期交由有危废处置资质单位进行处理。实验室产生的清洗废液应统一收集处，废液应根据其化学特性，选择合适的容器和存放地点，通过密闭容器存放，不可混合贮存，容器标签必须标明废物种类、贮存时间，定期交由危废处置</w:t>
            </w:r>
            <w:r>
              <w:rPr>
                <w:rFonts w:ascii="Times New Roman" w:hAnsi="Times New Roman" w:eastAsia="宋体" w:cs="Times New Roman"/>
                <w:kern w:val="0"/>
                <w:szCs w:val="24"/>
                <w:u w:val="single"/>
                <w:lang w:bidi="ar"/>
              </w:rPr>
              <w:t>资质单位处理。废弃的化学试剂交由</w:t>
            </w:r>
            <w:r>
              <w:rPr>
                <w:rFonts w:hint="eastAsia" w:ascii="Times New Roman" w:hAnsi="Times New Roman" w:eastAsia="宋体" w:cs="Times New Roman"/>
                <w:kern w:val="0"/>
                <w:szCs w:val="24"/>
                <w:u w:val="single"/>
                <w:lang w:bidi="ar"/>
              </w:rPr>
              <w:t>危废处置资质单位处理</w:t>
            </w:r>
            <w:r>
              <w:rPr>
                <w:rFonts w:ascii="Times New Roman" w:hAnsi="Times New Roman" w:eastAsia="宋体" w:cs="Times New Roman"/>
                <w:kern w:val="0"/>
                <w:szCs w:val="24"/>
                <w:u w:val="single"/>
                <w:lang w:bidi="ar"/>
              </w:rPr>
              <w:t>；生物实验室解剖废物先用高温高压灭菌消毒锅进行高热消毒，然后再交由危废处置资质单位处理。</w:t>
            </w:r>
          </w:p>
          <w:p>
            <w:pPr>
              <w:widowControl/>
              <w:ind w:firstLine="480" w:firstLineChars="200"/>
              <w:jc w:val="left"/>
              <w:rPr>
                <w:rFonts w:ascii="Times New Roman" w:hAnsi="Times New Roman" w:eastAsia="宋体" w:cs="Times New Roman"/>
                <w:kern w:val="0"/>
                <w:szCs w:val="24"/>
                <w:lang w:bidi="ar"/>
              </w:rPr>
            </w:pPr>
            <w:r>
              <w:rPr>
                <w:rFonts w:ascii="Times New Roman" w:hAnsi="Times New Roman" w:eastAsia="宋体" w:cs="Times New Roman"/>
                <w:kern w:val="0"/>
                <w:szCs w:val="24"/>
                <w:lang w:bidi="ar"/>
              </w:rPr>
              <w:t>（5）污泥</w:t>
            </w:r>
          </w:p>
          <w:p>
            <w:pPr>
              <w:widowControl/>
              <w:ind w:firstLine="480" w:firstLineChars="200"/>
              <w:jc w:val="left"/>
              <w:rPr>
                <w:rFonts w:ascii="Times New Roman" w:hAnsi="Times New Roman" w:eastAsia="宋体" w:cs="Times New Roman"/>
                <w:kern w:val="0"/>
                <w:szCs w:val="24"/>
                <w:lang w:bidi="ar"/>
              </w:rPr>
            </w:pPr>
            <w:r>
              <w:rPr>
                <w:rFonts w:ascii="Times New Roman" w:hAnsi="Times New Roman" w:eastAsia="宋体" w:cs="Times New Roman"/>
                <w:kern w:val="0"/>
                <w:szCs w:val="24"/>
                <w:lang w:bidi="ar"/>
              </w:rPr>
              <w:t>项目污泥可分为</w:t>
            </w:r>
            <w:r>
              <w:rPr>
                <w:rFonts w:hint="eastAsia" w:ascii="Times New Roman" w:hAnsi="Times New Roman" w:eastAsia="宋体" w:cs="Times New Roman"/>
                <w:kern w:val="0"/>
                <w:szCs w:val="24"/>
                <w:lang w:bidi="ar"/>
              </w:rPr>
              <w:t>污水处理站产生的</w:t>
            </w:r>
            <w:r>
              <w:rPr>
                <w:rFonts w:ascii="Times New Roman" w:hAnsi="Times New Roman" w:eastAsia="宋体" w:cs="Times New Roman"/>
                <w:kern w:val="0"/>
                <w:szCs w:val="24"/>
                <w:lang w:bidi="ar"/>
              </w:rPr>
              <w:t>一般污泥和</w:t>
            </w:r>
            <w:r>
              <w:rPr>
                <w:rFonts w:hint="eastAsia" w:ascii="Times New Roman" w:hAnsi="Times New Roman" w:eastAsia="宋体" w:cs="Times New Roman"/>
                <w:kern w:val="0"/>
                <w:szCs w:val="24"/>
                <w:lang w:bidi="ar"/>
              </w:rPr>
              <w:t>化学实验室</w:t>
            </w:r>
            <w:r>
              <w:rPr>
                <w:rFonts w:ascii="Times New Roman" w:hAnsi="Times New Roman" w:eastAsia="宋体" w:cs="Times New Roman"/>
                <w:kern w:val="0"/>
                <w:szCs w:val="24"/>
                <w:lang w:bidi="ar"/>
              </w:rPr>
              <w:t>危废污泥，其中一般固废污泥产生量约5.7625t/a，考虑到该部分主要来源为生活污水和食堂废水，有机质含量较高，从减少污染物排放及资源综合利用角度出发，建议建设单位出售至生物有机肥生产厂商进行综合利用。</w:t>
            </w:r>
          </w:p>
          <w:p>
            <w:pPr>
              <w:widowControl/>
              <w:ind w:firstLine="480" w:firstLineChars="200"/>
              <w:jc w:val="left"/>
              <w:rPr>
                <w:rFonts w:ascii="Times New Roman" w:hAnsi="Times New Roman" w:eastAsia="宋体" w:cs="Times New Roman"/>
                <w:kern w:val="0"/>
                <w:szCs w:val="24"/>
                <w:lang w:bidi="ar"/>
              </w:rPr>
            </w:pPr>
            <w:r>
              <w:rPr>
                <w:rFonts w:ascii="Times New Roman" w:hAnsi="Times New Roman" w:eastAsia="宋体" w:cs="Times New Roman"/>
                <w:kern w:val="0"/>
                <w:szCs w:val="24"/>
                <w:lang w:bidi="ar"/>
              </w:rPr>
              <w:t>危废污泥产生量约为0.199t/a</w:t>
            </w:r>
            <w:r>
              <w:rPr>
                <w:rFonts w:hint="eastAsia" w:ascii="Times New Roman" w:hAnsi="Times New Roman" w:eastAsia="宋体" w:cs="Times New Roman"/>
                <w:kern w:val="0"/>
                <w:szCs w:val="24"/>
                <w:lang w:bidi="ar"/>
              </w:rPr>
              <w:t>来源于化学实验室</w:t>
            </w:r>
            <w:r>
              <w:rPr>
                <w:rFonts w:ascii="Times New Roman" w:hAnsi="Times New Roman" w:eastAsia="宋体" w:cs="Times New Roman"/>
                <w:kern w:val="0"/>
                <w:szCs w:val="24"/>
                <w:lang w:bidi="ar"/>
              </w:rPr>
              <w:t>，该部分污泥经收集后交由具有资质的专业处理机构进行处置。</w:t>
            </w:r>
          </w:p>
          <w:p>
            <w:pPr>
              <w:widowControl/>
              <w:ind w:firstLine="480" w:firstLineChars="200"/>
              <w:jc w:val="left"/>
              <w:rPr>
                <w:rFonts w:ascii="Times New Roman" w:hAnsi="Times New Roman" w:eastAsia="宋体" w:cs="Times New Roman"/>
                <w:kern w:val="0"/>
                <w:szCs w:val="24"/>
                <w:lang w:bidi="ar"/>
              </w:rPr>
            </w:pPr>
            <w:r>
              <w:rPr>
                <w:rFonts w:ascii="Times New Roman" w:hAnsi="Times New Roman" w:eastAsia="宋体" w:cs="Times New Roman"/>
                <w:kern w:val="0"/>
                <w:szCs w:val="24"/>
                <w:lang w:bidi="ar"/>
              </w:rPr>
              <w:t>（6）医疗固废</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kern w:val="0"/>
                <w:szCs w:val="24"/>
                <w:lang w:bidi="ar"/>
              </w:rPr>
              <w:t>根据《国家危险废物名录》，医疗废物属于</w:t>
            </w:r>
            <w:r>
              <w:rPr>
                <w:rFonts w:ascii="Times New Roman" w:hAnsi="Times New Roman" w:eastAsia="宋体" w:cs="Times New Roman"/>
                <w:color w:val="000000"/>
                <w:kern w:val="0"/>
                <w:szCs w:val="24"/>
                <w:lang w:bidi="ar"/>
              </w:rPr>
              <w:t>危险废物，废物类别为“HW01医疗废物”，危险特性是“感染性”。根据工程分析，医疗废物年产生量预计为0.5t/a。与一般生活垃圾相比，医疗废物对环境的危害更大。垃圾中的有机物不仅滋生蚊蝇，造成疾病的传播，并且在腐败分解时生成多种有害物质，污染大气，危害人体健康，同时也是造成交叉感染和空气污染的主要原因。不适当处理的医疗废物中的利器（如针尖、针筒等碎玻璃），很容易造成割伤。</w:t>
            </w:r>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综上所述，项目产生的各类固废均可得到妥善处置，对周围环境影响不大。</w:t>
            </w:r>
          </w:p>
          <w:p>
            <w:pPr>
              <w:widowControl/>
              <w:ind w:firstLine="482" w:firstLineChars="200"/>
              <w:jc w:val="left"/>
              <w:rPr>
                <w:rFonts w:ascii="Times New Roman" w:hAnsi="Times New Roman" w:eastAsia="宋体" w:cs="Times New Roman"/>
                <w:b/>
                <w:bCs/>
                <w:color w:val="000000"/>
                <w:kern w:val="0"/>
                <w:szCs w:val="24"/>
                <w:lang w:bidi="ar"/>
              </w:rPr>
            </w:pPr>
            <w:r>
              <w:rPr>
                <w:rFonts w:ascii="Times New Roman" w:hAnsi="Times New Roman" w:eastAsia="宋体" w:cs="Times New Roman"/>
                <w:b/>
                <w:bCs/>
                <w:color w:val="000000"/>
                <w:kern w:val="0"/>
                <w:szCs w:val="24"/>
                <w:lang w:bidi="ar"/>
              </w:rPr>
              <w:t>固废处置措施要求及可行性分析</w:t>
            </w:r>
          </w:p>
          <w:p>
            <w:pPr>
              <w:widowControl/>
              <w:ind w:firstLine="480" w:firstLineChars="200"/>
              <w:jc w:val="left"/>
              <w:rPr>
                <w:rFonts w:ascii="Times New Roman" w:hAnsi="Times New Roman" w:eastAsia="宋体" w:cs="Times New Roman"/>
                <w:color w:val="000000"/>
                <w:kern w:val="0"/>
                <w:szCs w:val="24"/>
                <w:u w:val="single"/>
                <w:lang w:bidi="ar"/>
              </w:rPr>
            </w:pPr>
            <w:r>
              <w:rPr>
                <w:rFonts w:ascii="Times New Roman" w:hAnsi="Times New Roman" w:eastAsia="宋体" w:cs="Times New Roman"/>
                <w:color w:val="000000"/>
                <w:kern w:val="0"/>
                <w:szCs w:val="24"/>
                <w:u w:val="single"/>
                <w:lang w:bidi="ar"/>
              </w:rPr>
              <w:t>建设单位应设置固定的固废临时堆放场所，堆场必须设置水泥地面和防雨篷，其中危险废物在校内临时贮存时，必须符合国家《危险废物贮存污染控制标准》的要求，建设单位拟将项目投产后产生的危废在校内分类收集，将其装入专门的容器，容器上要粘贴符合标准的警示标签，对于不相容的危险废物必须分开存放，并设有隔离间隔断，并定期对所贮存的危险废物包装容器及贮存设施进行检查，发现破损，应及时采取措施清理更换。同时其</w:t>
            </w:r>
            <w:r>
              <w:rPr>
                <w:rFonts w:hint="eastAsia" w:ascii="Times New Roman" w:hAnsi="Times New Roman" w:eastAsia="宋体" w:cs="Times New Roman"/>
                <w:color w:val="000000"/>
                <w:kern w:val="0"/>
                <w:szCs w:val="24"/>
                <w:u w:val="single"/>
                <w:lang w:bidi="ar"/>
              </w:rPr>
              <w:t>危废暂存间</w:t>
            </w:r>
            <w:r>
              <w:rPr>
                <w:rFonts w:ascii="Times New Roman" w:hAnsi="Times New Roman" w:eastAsia="宋体" w:cs="Times New Roman"/>
                <w:color w:val="000000"/>
                <w:kern w:val="0"/>
                <w:szCs w:val="24"/>
                <w:u w:val="single"/>
                <w:lang w:bidi="ar"/>
              </w:rPr>
              <w:t>需应采取防渗、防雨、防溢流措施。妥善贮藏，加强管理，然后交由有资质的单位处理。</w:t>
            </w:r>
          </w:p>
          <w:p>
            <w:pPr>
              <w:widowControl/>
              <w:ind w:firstLine="480" w:firstLineChars="200"/>
              <w:jc w:val="left"/>
              <w:rPr>
                <w:rFonts w:ascii="Times New Roman" w:hAnsi="Times New Roman" w:eastAsia="宋体" w:cs="Times New Roman"/>
                <w:color w:val="000000"/>
                <w:kern w:val="0"/>
                <w:szCs w:val="24"/>
                <w:u w:val="single"/>
                <w:lang w:bidi="ar"/>
              </w:rPr>
            </w:pPr>
            <w:r>
              <w:rPr>
                <w:rFonts w:ascii="Times New Roman" w:hAnsi="Times New Roman" w:eastAsia="宋体" w:cs="Times New Roman"/>
                <w:color w:val="000000"/>
                <w:kern w:val="0"/>
                <w:szCs w:val="24"/>
                <w:u w:val="single"/>
                <w:lang w:bidi="ar"/>
              </w:rPr>
              <w:t>本项目固体废物处理处置在符合国家《中华人民共和国固体废物污染环境防治法》规定的原则、符合《一般工业固体废物贮存、处置场污染控制标准》（GB18599-2001）中的固体废物控制要求及2013年6月修改单要求和《危险废物贮存污染控制标准》（GB18597-2001）及2013年修改单规定的前提下，本项目固废不会对外环境产生二次污染，对区域环境影响较小。</w:t>
            </w:r>
          </w:p>
          <w:p>
            <w:pPr>
              <w:pStyle w:val="6"/>
              <w:ind w:firstLine="482"/>
              <w:outlineLvl w:val="2"/>
              <w:rPr>
                <w:rFonts w:cs="Times New Roman"/>
              </w:rPr>
            </w:pPr>
            <w:bookmarkStart w:id="82" w:name="_Toc34059549"/>
            <w:r>
              <w:rPr>
                <w:rFonts w:cs="Times New Roman"/>
              </w:rPr>
              <w:t>2.5环境风险分析和防护措施</w:t>
            </w:r>
            <w:bookmarkEnd w:id="82"/>
          </w:p>
          <w:p>
            <w:pPr>
              <w:widowControl/>
              <w:ind w:firstLine="480" w:firstLineChars="200"/>
              <w:jc w:val="left"/>
              <w:rPr>
                <w:rFonts w:ascii="Times New Roman" w:hAnsi="Times New Roman" w:eastAsia="宋体" w:cs="Times New Roman"/>
                <w:color w:val="000000"/>
                <w:kern w:val="0"/>
                <w:szCs w:val="24"/>
                <w:lang w:bidi="ar"/>
              </w:rPr>
            </w:pPr>
            <w:r>
              <w:rPr>
                <w:rFonts w:ascii="Times New Roman" w:hAnsi="Times New Roman" w:eastAsia="宋体" w:cs="Times New Roman"/>
                <w:color w:val="000000"/>
                <w:kern w:val="0"/>
                <w:szCs w:val="24"/>
                <w:lang w:bidi="ar"/>
              </w:rPr>
              <w:t>2.5.1环境风险识别</w:t>
            </w:r>
          </w:p>
          <w:p>
            <w:pPr>
              <w:pStyle w:val="29"/>
              <w:numPr>
                <w:ilvl w:val="0"/>
                <w:numId w:val="10"/>
              </w:numPr>
              <w:spacing w:line="520" w:lineRule="exact"/>
              <w:ind w:firstLine="48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风险识别</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物质危险识别：本项目涉及到的主要危险物质为</w:t>
            </w:r>
            <w:r>
              <w:rPr>
                <w:rFonts w:hint="eastAsia" w:ascii="Times New Roman" w:hAnsi="Times New Roman" w:cs="Times New Roman"/>
                <w:color w:val="000000" w:themeColor="text1"/>
                <w:szCs w:val="24"/>
                <w14:textFill>
                  <w14:solidFill>
                    <w14:schemeClr w14:val="tx1"/>
                  </w14:solidFill>
                </w14:textFill>
              </w:rPr>
              <w:t>医疗废物、实验室废物、污水处理站污泥</w:t>
            </w:r>
            <w:r>
              <w:rPr>
                <w:rFonts w:ascii="Times New Roman" w:hAnsi="Times New Roman" w:cs="Times New Roman"/>
                <w:color w:val="000000" w:themeColor="text1"/>
                <w:szCs w:val="24"/>
                <w14:textFill>
                  <w14:solidFill>
                    <w14:schemeClr w14:val="tx1"/>
                  </w14:solidFill>
                </w14:textFill>
              </w:rPr>
              <w:t>。</w:t>
            </w:r>
          </w:p>
          <w:p>
            <w:pPr>
              <w:pStyle w:val="29"/>
              <w:spacing w:line="520" w:lineRule="exact"/>
              <w:ind w:firstLine="48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（2）风险潜势判定</w:t>
            </w:r>
          </w:p>
          <w:p>
            <w:pPr>
              <w:ind w:firstLine="48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根据《建设项目环境风险评价技术导则》（HJ169-2018），建设项目环境风险潜势划分为I、II、III、IV/IV+级。根据建设项目涉及的物质和工艺系统的危险性及其所在地的环境敏感程度，结合事故情形下环境影响途径，对建设项目潜在环境危害程度进行概化分析，按照表7-23确定环境风险潜势。</w:t>
            </w:r>
          </w:p>
          <w:p>
            <w:pPr>
              <w:pStyle w:val="29"/>
              <w:spacing w:line="240" w:lineRule="auto"/>
              <w:ind w:firstLine="0" w:firstLineChars="0"/>
              <w:jc w:val="center"/>
              <w:rPr>
                <w:rFonts w:ascii="Times New Roman" w:hAnsi="Times New Roman" w:cs="Times New Roman"/>
                <w:b/>
                <w:bCs/>
                <w:color w:val="000000" w:themeColor="text1"/>
                <w:szCs w:val="24"/>
                <w14:textFill>
                  <w14:solidFill>
                    <w14:schemeClr w14:val="tx1"/>
                  </w14:solidFill>
                </w14:textFill>
              </w:rPr>
            </w:pPr>
            <w:r>
              <w:rPr>
                <w:rFonts w:ascii="Times New Roman" w:hAnsi="Times New Roman" w:cs="Times New Roman"/>
                <w:b/>
                <w:bCs/>
                <w:color w:val="000000" w:themeColor="text1"/>
                <w:szCs w:val="24"/>
                <w14:textFill>
                  <w14:solidFill>
                    <w14:schemeClr w14:val="tx1"/>
                  </w14:solidFill>
                </w14:textFill>
              </w:rPr>
              <w:t>表7-23  建设项目环境风险潜势划分</w:t>
            </w:r>
          </w:p>
          <w:tbl>
            <w:tblPr>
              <w:tblStyle w:val="24"/>
              <w:tblW w:w="907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1619"/>
              <w:gridCol w:w="1753"/>
              <w:gridCol w:w="1812"/>
              <w:gridCol w:w="16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vMerge w:val="restart"/>
                  <w:tcBorders>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环境敏感程度 （E）</w:t>
                  </w:r>
                </w:p>
              </w:tc>
              <w:tc>
                <w:tcPr>
                  <w:tcW w:w="6838" w:type="dxa"/>
                  <w:gridSpan w:val="4"/>
                  <w:tcBorders>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危险物质及工艺系统危险性（P）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vMerge w:val="continue"/>
                  <w:tcBorders>
                    <w:bottom w:val="single" w:color="auto" w:sz="12" w:space="0"/>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p>
              </w:tc>
              <w:tc>
                <w:tcPr>
                  <w:tcW w:w="1619" w:type="dxa"/>
                  <w:tcBorders>
                    <w:bottom w:val="single" w:color="auto" w:sz="12" w:space="0"/>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极高危害（P1）</w:t>
                  </w:r>
                </w:p>
              </w:tc>
              <w:tc>
                <w:tcPr>
                  <w:tcW w:w="1753" w:type="dxa"/>
                  <w:tcBorders>
                    <w:bottom w:val="single" w:color="auto" w:sz="12" w:space="0"/>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高度危害（P2）</w:t>
                  </w:r>
                </w:p>
              </w:tc>
              <w:tc>
                <w:tcPr>
                  <w:tcW w:w="1812" w:type="dxa"/>
                  <w:tcBorders>
                    <w:bottom w:val="single" w:color="auto" w:sz="12" w:space="0"/>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中度危害（P3）</w:t>
                  </w:r>
                </w:p>
              </w:tc>
              <w:tc>
                <w:tcPr>
                  <w:tcW w:w="1654" w:type="dxa"/>
                  <w:tcBorders>
                    <w:bottom w:val="single" w:color="auto" w:sz="12" w:space="0"/>
                    <w:tl2br w:val="nil"/>
                    <w:tr2bl w:val="nil"/>
                  </w:tcBorders>
                  <w:vAlign w:val="center"/>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轻度危害（P4）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环境高度敏感区 （E1）</w:t>
                  </w:r>
                </w:p>
              </w:tc>
              <w:tc>
                <w:tcPr>
                  <w:tcW w:w="1619" w:type="dxa"/>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IV+</w:t>
                  </w:r>
                </w:p>
              </w:tc>
              <w:tc>
                <w:tcPr>
                  <w:tcW w:w="1753" w:type="dxa"/>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4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IV</w:t>
                  </w:r>
                  <w:r>
                    <w:rPr>
                      <w:rFonts w:ascii="Times New Roman" w:hAnsi="Times New Roman" w:cs="Times New Roman"/>
                      <w:color w:val="000000" w:themeColor="text1"/>
                      <w:sz w:val="21"/>
                      <w:szCs w:val="21"/>
                      <w14:textFill>
                        <w14:solidFill>
                          <w14:schemeClr w14:val="tx1"/>
                        </w14:solidFill>
                      </w14:textFill>
                    </w:rPr>
                    <w:fldChar w:fldCharType="end"/>
                  </w:r>
                </w:p>
              </w:tc>
              <w:tc>
                <w:tcPr>
                  <w:tcW w:w="1812" w:type="dxa"/>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c>
                <w:tcPr>
                  <w:tcW w:w="1654" w:type="dxa"/>
                  <w:tcBorders>
                    <w:top w:val="single" w:color="auto" w:sz="12" w:space="0"/>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环境高度敏感区 （E1）</w:t>
                  </w:r>
                </w:p>
              </w:tc>
              <w:tc>
                <w:tcPr>
                  <w:tcW w:w="1619"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4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IV</w:t>
                  </w:r>
                  <w:r>
                    <w:rPr>
                      <w:rFonts w:ascii="Times New Roman" w:hAnsi="Times New Roman" w:cs="Times New Roman"/>
                      <w:color w:val="000000" w:themeColor="text1"/>
                      <w:sz w:val="21"/>
                      <w:szCs w:val="21"/>
                      <w14:textFill>
                        <w14:solidFill>
                          <w14:schemeClr w14:val="tx1"/>
                        </w14:solidFill>
                      </w14:textFill>
                    </w:rPr>
                    <w:fldChar w:fldCharType="end"/>
                  </w:r>
                </w:p>
              </w:tc>
              <w:tc>
                <w:tcPr>
                  <w:tcW w:w="1753"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c>
                <w:tcPr>
                  <w:tcW w:w="1812"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c>
                <w:tcPr>
                  <w:tcW w:w="1654"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2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w:t>
                  </w:r>
                  <w:r>
                    <w:rPr>
                      <w:rFonts w:ascii="Times New Roman" w:hAnsi="Times New Roman" w:cs="Times New Roman"/>
                      <w:color w:val="000000" w:themeColor="text1"/>
                      <w:sz w:val="21"/>
                      <w:szCs w:val="21"/>
                      <w14:textFill>
                        <w14:solidFill>
                          <w14:schemeClr w14:val="tx1"/>
                        </w14:solidFill>
                      </w14:textFill>
                    </w:rPr>
                    <w:fldChar w:fldCharType="end"/>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环境高度敏感区 （E1）</w:t>
                  </w:r>
                </w:p>
              </w:tc>
              <w:tc>
                <w:tcPr>
                  <w:tcW w:w="1619"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c>
                <w:tcPr>
                  <w:tcW w:w="1753"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3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III</w:t>
                  </w:r>
                  <w:r>
                    <w:rPr>
                      <w:rFonts w:ascii="Times New Roman" w:hAnsi="Times New Roman" w:cs="Times New Roman"/>
                      <w:color w:val="000000" w:themeColor="text1"/>
                      <w:sz w:val="21"/>
                      <w:szCs w:val="21"/>
                      <w14:textFill>
                        <w14:solidFill>
                          <w14:schemeClr w14:val="tx1"/>
                        </w14:solidFill>
                      </w14:textFill>
                    </w:rPr>
                    <w:fldChar w:fldCharType="end"/>
                  </w:r>
                </w:p>
              </w:tc>
              <w:tc>
                <w:tcPr>
                  <w:tcW w:w="1812"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2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II</w:t>
                  </w:r>
                  <w:r>
                    <w:rPr>
                      <w:rFonts w:ascii="Times New Roman" w:hAnsi="Times New Roman" w:cs="Times New Roman"/>
                      <w:color w:val="000000" w:themeColor="text1"/>
                      <w:sz w:val="21"/>
                      <w:szCs w:val="21"/>
                      <w14:textFill>
                        <w14:solidFill>
                          <w14:schemeClr w14:val="tx1"/>
                        </w14:solidFill>
                      </w14:textFill>
                    </w:rPr>
                    <w:fldChar w:fldCharType="end"/>
                  </w:r>
                </w:p>
              </w:tc>
              <w:tc>
                <w:tcPr>
                  <w:tcW w:w="1654" w:type="dxa"/>
                  <w:tcBorders>
                    <w:tl2br w:val="nil"/>
                    <w:tr2bl w:val="nil"/>
                  </w:tcBorders>
                  <w:vAlign w:val="center"/>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fldChar w:fldCharType="begin"/>
                  </w:r>
                  <w:r>
                    <w:rPr>
                      <w:rFonts w:ascii="Times New Roman" w:hAnsi="Times New Roman" w:cs="Times New Roman"/>
                      <w:color w:val="000000" w:themeColor="text1"/>
                      <w:sz w:val="21"/>
                      <w:szCs w:val="21"/>
                      <w14:textFill>
                        <w14:solidFill>
                          <w14:schemeClr w14:val="tx1"/>
                        </w14:solidFill>
                      </w14:textFill>
                    </w:rPr>
                    <w:instrText xml:space="preserve"> = 1 \* ROMAN \* MERGEFORMAT </w:instrText>
                  </w:r>
                  <w:r>
                    <w:rPr>
                      <w:rFonts w:ascii="Times New Roman" w:hAnsi="Times New Roman" w:cs="Times New Roman"/>
                      <w:color w:val="000000" w:themeColor="text1"/>
                      <w:sz w:val="21"/>
                      <w:szCs w:val="21"/>
                      <w14:textFill>
                        <w14:solidFill>
                          <w14:schemeClr w14:val="tx1"/>
                        </w14:solidFill>
                      </w14:textFill>
                    </w:rPr>
                    <w:fldChar w:fldCharType="separate"/>
                  </w:r>
                  <w:r>
                    <w:rPr>
                      <w:rFonts w:ascii="Times New Roman" w:hAnsi="Times New Roman" w:cs="Times New Roman"/>
                      <w:color w:val="000000" w:themeColor="text1"/>
                      <w:sz w:val="21"/>
                      <w:szCs w:val="21"/>
                      <w14:textFill>
                        <w14:solidFill>
                          <w14:schemeClr w14:val="tx1"/>
                        </w14:solidFill>
                      </w14:textFill>
                    </w:rPr>
                    <w:t>I</w:t>
                  </w:r>
                  <w:r>
                    <w:rPr>
                      <w:rFonts w:ascii="Times New Roman" w:hAnsi="Times New Roman" w:cs="Times New Roman"/>
                      <w:color w:val="000000" w:themeColor="text1"/>
                      <w:sz w:val="21"/>
                      <w:szCs w:val="21"/>
                      <w14:textFill>
                        <w14:solidFill>
                          <w14:schemeClr w14:val="tx1"/>
                        </w14:solidFill>
                      </w14:textFill>
                    </w:rPr>
                    <w:fldChar w:fldCharType="end"/>
                  </w:r>
                </w:p>
              </w:tc>
            </w:tr>
          </w:tbl>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根据上表可知，风险潜势由危险物质及工艺系统危险性（P）与环境敏感程度（E）共同确定，而P的分级由危险物质数量与临界量的比值（Q）和所属行业及生产工艺特点（M）共同确定。</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危险物质数量与临界量比值（Q）为每种危险物质在厂界内的最大存在总量与其在《建设项目环境风险评价技术导则》（HJ169-2018）附录B中对应临界量的比值Q，当只涉及一种危险物质时，计算该物质的总量与其临界量比值，即为Q；当存在多种危险物质时，则按照下式计算物质总量与其临界量比值（Q）：</w:t>
            </w:r>
          </w:p>
          <w:p>
            <w:pPr>
              <w:pStyle w:val="29"/>
              <w:ind w:firstLine="48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position w:val="-26"/>
                <w14:textFill>
                  <w14:solidFill>
                    <w14:schemeClr w14:val="tx1"/>
                  </w14:solidFill>
                </w14:textFill>
              </w:rPr>
              <w:object>
                <v:shape id="_x0000_i1028" o:spt="75" type="#_x0000_t75" style="height:30pt;width:96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式中：q</w:t>
            </w:r>
            <w:r>
              <w:rPr>
                <w:rFonts w:ascii="Times New Roman" w:hAnsi="Times New Roman" w:cs="Times New Roman"/>
                <w:color w:val="000000" w:themeColor="text1"/>
                <w:szCs w:val="24"/>
                <w:vertAlign w:val="subscript"/>
                <w14:textFill>
                  <w14:solidFill>
                    <w14:schemeClr w14:val="tx1"/>
                  </w14:solidFill>
                </w14:textFill>
              </w:rPr>
              <w:t>1</w:t>
            </w:r>
            <w:r>
              <w:rPr>
                <w:rFonts w:ascii="Times New Roman" w:hAnsi="Times New Roman" w:cs="Times New Roman"/>
                <w:color w:val="000000" w:themeColor="text1"/>
                <w:szCs w:val="24"/>
                <w14:textFill>
                  <w14:solidFill>
                    <w14:schemeClr w14:val="tx1"/>
                  </w14:solidFill>
                </w14:textFill>
              </w:rPr>
              <w:t>，q</w:t>
            </w:r>
            <w:r>
              <w:rPr>
                <w:rFonts w:ascii="Times New Roman" w:hAnsi="Times New Roman" w:cs="Times New Roman"/>
                <w:color w:val="000000" w:themeColor="text1"/>
                <w:szCs w:val="24"/>
                <w:vertAlign w:val="subscript"/>
                <w14:textFill>
                  <w14:solidFill>
                    <w14:schemeClr w14:val="tx1"/>
                  </w14:solidFill>
                </w14:textFill>
              </w:rPr>
              <w:t>2</w:t>
            </w:r>
            <w:r>
              <w:rPr>
                <w:rFonts w:ascii="Times New Roman" w:hAnsi="Times New Roman" w:cs="Times New Roman"/>
                <w:color w:val="000000" w:themeColor="text1"/>
                <w:szCs w:val="24"/>
                <w14:textFill>
                  <w14:solidFill>
                    <w14:schemeClr w14:val="tx1"/>
                  </w14:solidFill>
                </w14:textFill>
              </w:rPr>
              <w:t>，…，q</w:t>
            </w:r>
            <w:r>
              <w:rPr>
                <w:rFonts w:ascii="Times New Roman" w:hAnsi="Times New Roman" w:cs="Times New Roman"/>
                <w:color w:val="000000" w:themeColor="text1"/>
                <w:szCs w:val="24"/>
                <w:vertAlign w:val="subscript"/>
                <w14:textFill>
                  <w14:solidFill>
                    <w14:schemeClr w14:val="tx1"/>
                  </w14:solidFill>
                </w14:textFill>
              </w:rPr>
              <w:t>n</w:t>
            </w:r>
            <w:r>
              <w:rPr>
                <w:rFonts w:ascii="Times New Roman" w:hAnsi="Times New Roman" w:cs="Times New Roman"/>
                <w:color w:val="000000" w:themeColor="text1"/>
                <w:szCs w:val="24"/>
                <w14:textFill>
                  <w14:solidFill>
                    <w14:schemeClr w14:val="tx1"/>
                  </w14:solidFill>
                </w14:textFill>
              </w:rPr>
              <w:t>——每种危险物质的最大存在量，t；</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 xml:space="preserve">      Q</w:t>
            </w:r>
            <w:r>
              <w:rPr>
                <w:rFonts w:ascii="Times New Roman" w:hAnsi="Times New Roman" w:cs="Times New Roman"/>
                <w:color w:val="000000" w:themeColor="text1"/>
                <w:szCs w:val="24"/>
                <w:vertAlign w:val="subscript"/>
                <w14:textFill>
                  <w14:solidFill>
                    <w14:schemeClr w14:val="tx1"/>
                  </w14:solidFill>
                </w14:textFill>
              </w:rPr>
              <w:t>1</w:t>
            </w:r>
            <w:r>
              <w:rPr>
                <w:rFonts w:ascii="Times New Roman" w:hAnsi="Times New Roman" w:cs="Times New Roman"/>
                <w:color w:val="000000" w:themeColor="text1"/>
                <w:szCs w:val="24"/>
                <w14:textFill>
                  <w14:solidFill>
                    <w14:schemeClr w14:val="tx1"/>
                  </w14:solidFill>
                </w14:textFill>
              </w:rPr>
              <w:t>，Q</w:t>
            </w:r>
            <w:r>
              <w:rPr>
                <w:rFonts w:ascii="Times New Roman" w:hAnsi="Times New Roman" w:cs="Times New Roman"/>
                <w:color w:val="000000" w:themeColor="text1"/>
                <w:szCs w:val="24"/>
                <w:vertAlign w:val="subscript"/>
                <w14:textFill>
                  <w14:solidFill>
                    <w14:schemeClr w14:val="tx1"/>
                  </w14:solidFill>
                </w14:textFill>
              </w:rPr>
              <w:t>2</w:t>
            </w:r>
            <w:r>
              <w:rPr>
                <w:rFonts w:ascii="Times New Roman" w:hAnsi="Times New Roman" w:cs="Times New Roman"/>
                <w:color w:val="000000" w:themeColor="text1"/>
                <w:szCs w:val="24"/>
                <w14:textFill>
                  <w14:solidFill>
                    <w14:schemeClr w14:val="tx1"/>
                  </w14:solidFill>
                </w14:textFill>
              </w:rPr>
              <w:t>，…，Qn——每种危险物质的临界量，t。</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当Q＜1时，该项目风险潜势为I；</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当Q≥1时，将Q值划分为：1≤Q＜10；10≤Q＜100；Q≥100。</w:t>
            </w:r>
          </w:p>
          <w:p>
            <w:pPr>
              <w:pStyle w:val="29"/>
              <w:ind w:firstLine="0" w:firstLineChars="0"/>
              <w:jc w:val="center"/>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b/>
                <w:bCs/>
                <w:color w:val="000000" w:themeColor="text1"/>
                <w:szCs w:val="24"/>
                <w14:textFill>
                  <w14:solidFill>
                    <w14:schemeClr w14:val="tx1"/>
                  </w14:solidFill>
                </w14:textFill>
              </w:rPr>
              <w:t>表7-24  涉及的风险物质及Q值计算一览表</w:t>
            </w:r>
          </w:p>
          <w:tbl>
            <w:tblPr>
              <w:tblStyle w:val="24"/>
              <w:tblW w:w="907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37"/>
              <w:gridCol w:w="2056"/>
              <w:gridCol w:w="722"/>
              <w:gridCol w:w="564"/>
              <w:gridCol w:w="736"/>
              <w:gridCol w:w="1007"/>
              <w:gridCol w:w="899"/>
              <w:gridCol w:w="182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序号</w:t>
                  </w:r>
                </w:p>
              </w:tc>
              <w:tc>
                <w:tcPr>
                  <w:tcW w:w="837"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危险废物名称</w:t>
                  </w:r>
                </w:p>
              </w:tc>
              <w:tc>
                <w:tcPr>
                  <w:tcW w:w="2056"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危险废物代码</w:t>
                  </w:r>
                </w:p>
              </w:tc>
              <w:tc>
                <w:tcPr>
                  <w:tcW w:w="722"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危害特性</w:t>
                  </w:r>
                </w:p>
              </w:tc>
              <w:tc>
                <w:tcPr>
                  <w:tcW w:w="564"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形态</w:t>
                  </w:r>
                </w:p>
              </w:tc>
              <w:tc>
                <w:tcPr>
                  <w:tcW w:w="736"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储存方式</w:t>
                  </w:r>
                </w:p>
              </w:tc>
              <w:tc>
                <w:tcPr>
                  <w:tcW w:w="1007"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最大储存量qi</w:t>
                  </w:r>
                </w:p>
              </w:tc>
              <w:tc>
                <w:tcPr>
                  <w:tcW w:w="899"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qi/Qi</w:t>
                  </w:r>
                </w:p>
              </w:tc>
              <w:tc>
                <w:tcPr>
                  <w:tcW w:w="1824" w:type="dxa"/>
                  <w:tcBorders>
                    <w:bottom w:val="single" w:color="auto" w:sz="12" w:space="0"/>
                  </w:tcBorders>
                  <w:vAlign w:val="center"/>
                </w:tcPr>
                <w:p>
                  <w:pPr>
                    <w:pStyle w:val="29"/>
                    <w:spacing w:line="240" w:lineRule="auto"/>
                    <w:ind w:firstLine="0" w:firstLineChars="0"/>
                    <w:jc w:val="center"/>
                    <w:rPr>
                      <w:rFonts w:ascii="Times New Roman" w:hAnsi="Times New Roman" w:cs="Times New Roman"/>
                      <w:b/>
                      <w:bCs/>
                      <w:color w:val="000000" w:themeColor="text1"/>
                      <w:sz w:val="21"/>
                      <w:szCs w:val="21"/>
                      <w:u w:val="single"/>
                      <w14:textFill>
                        <w14:solidFill>
                          <w14:schemeClr w14:val="tx1"/>
                        </w14:solidFill>
                      </w14:textFill>
                    </w:rPr>
                  </w:pPr>
                  <w:r>
                    <w:rPr>
                      <w:rFonts w:ascii="Times New Roman" w:hAnsi="Times New Roman" w:cs="Times New Roman"/>
                      <w:b/>
                      <w:bCs/>
                      <w:color w:val="000000" w:themeColor="text1"/>
                      <w:sz w:val="21"/>
                      <w:szCs w:val="21"/>
                      <w:u w:val="single"/>
                      <w14:textFill>
                        <w14:solidFill>
                          <w14:schemeClr w14:val="tx1"/>
                        </w14:solidFill>
                      </w14:textFill>
                    </w:rPr>
                    <w:t>《辨识》中规定的临界量 Qi</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1</w:t>
                  </w:r>
                </w:p>
              </w:tc>
              <w:tc>
                <w:tcPr>
                  <w:tcW w:w="837"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医疗废物</w:t>
                  </w:r>
                </w:p>
              </w:tc>
              <w:tc>
                <w:tcPr>
                  <w:tcW w:w="2056"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831-001-01、831-002-01、831-003-01、831-004-01</w:t>
                  </w:r>
                  <w:r>
                    <w:rPr>
                      <w:rFonts w:hint="eastAsia" w:ascii="Times New Roman" w:hAnsi="Times New Roman" w:cs="Times New Roman"/>
                      <w:color w:val="000000" w:themeColor="text1"/>
                      <w:sz w:val="21"/>
                      <w:szCs w:val="21"/>
                      <w:u w:val="single"/>
                      <w14:textFill>
                        <w14:solidFill>
                          <w14:schemeClr w14:val="tx1"/>
                        </w14:solidFill>
                      </w14:textFill>
                    </w:rPr>
                    <w:t>、</w:t>
                  </w:r>
                  <w:r>
                    <w:rPr>
                      <w:rFonts w:ascii="Times New Roman" w:hAnsi="Times New Roman" w:cs="Times New Roman"/>
                      <w:color w:val="000000" w:themeColor="text1"/>
                      <w:sz w:val="21"/>
                      <w:szCs w:val="21"/>
                      <w:u w:val="single"/>
                      <w14:textFill>
                        <w14:solidFill>
                          <w14:schemeClr w14:val="tx1"/>
                        </w14:solidFill>
                      </w14:textFill>
                    </w:rPr>
                    <w:t>831-005-01</w:t>
                  </w:r>
                </w:p>
              </w:tc>
              <w:tc>
                <w:tcPr>
                  <w:tcW w:w="722" w:type="dxa"/>
                  <w:vMerge w:val="restart"/>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危险废物</w:t>
                  </w:r>
                </w:p>
              </w:tc>
              <w:tc>
                <w:tcPr>
                  <w:tcW w:w="564"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固态</w:t>
                  </w:r>
                </w:p>
              </w:tc>
              <w:tc>
                <w:tcPr>
                  <w:tcW w:w="736" w:type="dxa"/>
                  <w:vMerge w:val="restart"/>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危废暂存间</w:t>
                  </w:r>
                </w:p>
              </w:tc>
              <w:tc>
                <w:tcPr>
                  <w:tcW w:w="1007"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0.5t</w:t>
                  </w:r>
                </w:p>
              </w:tc>
              <w:tc>
                <w:tcPr>
                  <w:tcW w:w="899"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00</w:t>
                  </w:r>
                  <w:r>
                    <w:rPr>
                      <w:rFonts w:hint="eastAsia" w:ascii="Times New Roman" w:hAnsi="Times New Roman" w:cs="Times New Roman"/>
                      <w:color w:val="000000" w:themeColor="text1"/>
                      <w:sz w:val="21"/>
                      <w:szCs w:val="21"/>
                      <w:u w:val="single"/>
                      <w14:textFill>
                        <w14:solidFill>
                          <w14:schemeClr w14:val="tx1"/>
                        </w14:solidFill>
                      </w14:textFill>
                    </w:rPr>
                    <w:t>1</w:t>
                  </w:r>
                </w:p>
              </w:tc>
              <w:tc>
                <w:tcPr>
                  <w:tcW w:w="1824" w:type="dxa"/>
                  <w:tcBorders>
                    <w:top w:val="single" w:color="auto" w:sz="12" w:space="0"/>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r>
                    <w:rPr>
                      <w:rFonts w:ascii="Times New Roman" w:hAnsi="Times New Roman" w:cs="Times New Roman"/>
                      <w:color w:val="000000" w:themeColor="text1"/>
                      <w:sz w:val="21"/>
                      <w:szCs w:val="21"/>
                      <w:u w:val="single"/>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2</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污泥</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900-047-09</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固态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199</w:t>
                  </w:r>
                  <w:r>
                    <w:rPr>
                      <w:rFonts w:hint="eastAsia" w:ascii="Times New Roman" w:hAnsi="Times New Roman" w:cs="Times New Roman"/>
                      <w:color w:val="000000" w:themeColor="text1"/>
                      <w:sz w:val="21"/>
                      <w:szCs w:val="21"/>
                      <w:u w:val="single"/>
                      <w14:textFill>
                        <w14:solidFill>
                          <w14:schemeClr w14:val="tx1"/>
                        </w14:solidFill>
                      </w14:textFill>
                    </w:rPr>
                    <w:t>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0.0</w:t>
                  </w:r>
                  <w:r>
                    <w:rPr>
                      <w:rFonts w:ascii="Times New Roman" w:hAnsi="Times New Roman" w:cs="Times New Roman"/>
                      <w:color w:val="000000" w:themeColor="text1"/>
                      <w:sz w:val="21"/>
                      <w:szCs w:val="21"/>
                      <w:u w:val="single"/>
                      <w14:textFill>
                        <w14:solidFill>
                          <w14:schemeClr w14:val="tx1"/>
                        </w14:solidFill>
                      </w14:textFill>
                    </w:rPr>
                    <w:t>0398</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3</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生物培养基</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900-047-49</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固态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1</w:t>
                  </w:r>
                  <w:r>
                    <w:rPr>
                      <w:rFonts w:hint="eastAsia" w:ascii="Times New Roman" w:hAnsi="Times New Roman" w:cs="Times New Roman"/>
                      <w:color w:val="000000" w:themeColor="text1"/>
                      <w:sz w:val="21"/>
                      <w:szCs w:val="21"/>
                      <w:u w:val="single"/>
                      <w14:textFill>
                        <w14:solidFill>
                          <w14:schemeClr w14:val="tx1"/>
                        </w14:solidFill>
                      </w14:textFill>
                    </w:rPr>
                    <w:t>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0.002</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r>
                    <w:rPr>
                      <w:rFonts w:ascii="Times New Roman" w:hAnsi="Times New Roman" w:cs="Times New Roman"/>
                      <w:color w:val="000000" w:themeColor="text1"/>
                      <w:sz w:val="21"/>
                      <w:szCs w:val="21"/>
                      <w:u w:val="single"/>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4</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废酸</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900-349-34</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固态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35</w:t>
                  </w:r>
                  <w:r>
                    <w:rPr>
                      <w:rFonts w:hint="eastAsia" w:ascii="Times New Roman" w:hAnsi="Times New Roman" w:cs="Times New Roman"/>
                      <w:color w:val="000000" w:themeColor="text1"/>
                      <w:sz w:val="21"/>
                      <w:szCs w:val="21"/>
                      <w:u w:val="single"/>
                      <w14:textFill>
                        <w14:solidFill>
                          <w14:schemeClr w14:val="tx1"/>
                        </w14:solidFill>
                      </w14:textFill>
                    </w:rPr>
                    <w:t>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0.0</w:t>
                  </w:r>
                  <w:r>
                    <w:rPr>
                      <w:rFonts w:ascii="Times New Roman" w:hAnsi="Times New Roman" w:cs="Times New Roman"/>
                      <w:color w:val="000000" w:themeColor="text1"/>
                      <w:sz w:val="21"/>
                      <w:szCs w:val="21"/>
                      <w:u w:val="single"/>
                      <w14:textFill>
                        <w14:solidFill>
                          <w14:schemeClr w14:val="tx1"/>
                        </w14:solidFill>
                      </w14:textFill>
                    </w:rPr>
                    <w:t>07</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r>
                    <w:rPr>
                      <w:rFonts w:ascii="Times New Roman" w:hAnsi="Times New Roman" w:cs="Times New Roman"/>
                      <w:color w:val="000000" w:themeColor="text1"/>
                      <w:sz w:val="21"/>
                      <w:szCs w:val="21"/>
                      <w:u w:val="single"/>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5</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废碱</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900-399-35</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固态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35</w:t>
                  </w:r>
                  <w:r>
                    <w:rPr>
                      <w:rFonts w:hint="eastAsia" w:ascii="Times New Roman" w:hAnsi="Times New Roman" w:cs="Times New Roman"/>
                      <w:color w:val="000000" w:themeColor="text1"/>
                      <w:sz w:val="21"/>
                      <w:szCs w:val="21"/>
                      <w:u w:val="single"/>
                      <w14:textFill>
                        <w14:solidFill>
                          <w14:schemeClr w14:val="tx1"/>
                        </w14:solidFill>
                      </w14:textFill>
                    </w:rPr>
                    <w:t>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0.0</w:t>
                  </w:r>
                  <w:r>
                    <w:rPr>
                      <w:rFonts w:ascii="Times New Roman" w:hAnsi="Times New Roman" w:cs="Times New Roman"/>
                      <w:color w:val="000000" w:themeColor="text1"/>
                      <w:sz w:val="21"/>
                      <w:szCs w:val="21"/>
                      <w:u w:val="single"/>
                      <w14:textFill>
                        <w14:solidFill>
                          <w14:schemeClr w14:val="tx1"/>
                        </w14:solidFill>
                      </w14:textFill>
                    </w:rPr>
                    <w:t>07</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r>
                    <w:rPr>
                      <w:rFonts w:ascii="Times New Roman" w:hAnsi="Times New Roman" w:cs="Times New Roman"/>
                      <w:color w:val="000000" w:themeColor="text1"/>
                      <w:sz w:val="21"/>
                      <w:szCs w:val="21"/>
                      <w:u w:val="single"/>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6</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化学实验室清洗废液</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900-047-49</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液态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8</w:t>
                  </w:r>
                  <w:r>
                    <w:rPr>
                      <w:rFonts w:ascii="Times New Roman" w:hAnsi="Times New Roman" w:cs="Times New Roman"/>
                      <w:color w:val="000000" w:themeColor="text1"/>
                      <w:sz w:val="21"/>
                      <w:szCs w:val="21"/>
                      <w:u w:val="single"/>
                      <w14:textFill>
                        <w14:solidFill>
                          <w14:schemeClr w14:val="tx1"/>
                        </w14:solidFill>
                      </w14:textFill>
                    </w:rPr>
                    <w:t>0t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.4</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w:t>
                  </w:r>
                  <w:r>
                    <w:rPr>
                      <w:rFonts w:ascii="Times New Roman" w:hAnsi="Times New Roman" w:cs="Times New Roman"/>
                      <w:color w:val="000000" w:themeColor="text1"/>
                      <w:sz w:val="21"/>
                      <w:szCs w:val="21"/>
                      <w:u w:val="single"/>
                      <w14:textFill>
                        <w14:solidFill>
                          <w14:schemeClr w14:val="tx1"/>
                        </w14:solidFill>
                      </w14:textFill>
                    </w:rPr>
                    <w:t>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7</w:t>
                  </w:r>
                </w:p>
              </w:tc>
              <w:tc>
                <w:tcPr>
                  <w:tcW w:w="83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废包装容器</w:t>
                  </w:r>
                </w:p>
              </w:tc>
              <w:tc>
                <w:tcPr>
                  <w:tcW w:w="2056"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ascii="Times New Roman" w:hAnsi="Times New Roman" w:cs="Times New Roman"/>
                      <w:color w:val="000000" w:themeColor="text1"/>
                      <w:sz w:val="21"/>
                      <w:szCs w:val="21"/>
                      <w:u w:val="single"/>
                      <w14:textFill>
                        <w14:solidFill>
                          <w14:schemeClr w14:val="tx1"/>
                        </w14:solidFill>
                      </w14:textFill>
                    </w:rPr>
                    <w:t>900-047-49</w:t>
                  </w:r>
                </w:p>
              </w:tc>
              <w:tc>
                <w:tcPr>
                  <w:tcW w:w="722"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56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固态</w:t>
                  </w:r>
                </w:p>
              </w:tc>
              <w:tc>
                <w:tcPr>
                  <w:tcW w:w="736" w:type="dxa"/>
                  <w:vMerge w:val="continue"/>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p>
              </w:tc>
              <w:tc>
                <w:tcPr>
                  <w:tcW w:w="1007"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w:t>
                  </w:r>
                  <w:r>
                    <w:rPr>
                      <w:rFonts w:ascii="Times New Roman" w:hAnsi="Times New Roman" w:cs="Times New Roman"/>
                      <w:color w:val="000000" w:themeColor="text1"/>
                      <w:sz w:val="21"/>
                      <w:szCs w:val="21"/>
                      <w:u w:val="single"/>
                      <w14:textFill>
                        <w14:solidFill>
                          <w14:schemeClr w14:val="tx1"/>
                        </w14:solidFill>
                      </w14:textFill>
                    </w:rPr>
                    <w:t>5</w:t>
                  </w:r>
                  <w:r>
                    <w:rPr>
                      <w:rFonts w:hint="eastAsia" w:ascii="Times New Roman" w:hAnsi="Times New Roman" w:cs="Times New Roman"/>
                      <w:color w:val="000000" w:themeColor="text1"/>
                      <w:sz w:val="21"/>
                      <w:szCs w:val="21"/>
                      <w:u w:val="single"/>
                      <w14:textFill>
                        <w14:solidFill>
                          <w14:schemeClr w14:val="tx1"/>
                        </w14:solidFill>
                      </w14:textFill>
                    </w:rPr>
                    <w:t>t</w:t>
                  </w:r>
                </w:p>
              </w:tc>
              <w:tc>
                <w:tcPr>
                  <w:tcW w:w="899"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0.0</w:t>
                  </w:r>
                  <w:r>
                    <w:rPr>
                      <w:rFonts w:ascii="Times New Roman" w:hAnsi="Times New Roman" w:cs="Times New Roman"/>
                      <w:color w:val="000000" w:themeColor="text1"/>
                      <w:sz w:val="21"/>
                      <w:szCs w:val="21"/>
                      <w:u w:val="single"/>
                      <w14:textFill>
                        <w14:solidFill>
                          <w14:schemeClr w14:val="tx1"/>
                        </w14:solidFill>
                      </w14:textFill>
                    </w:rPr>
                    <w:t>1</w:t>
                  </w:r>
                </w:p>
              </w:tc>
              <w:tc>
                <w:tcPr>
                  <w:tcW w:w="1824" w:type="dxa"/>
                  <w:tcBorders>
                    <w:tl2br w:val="nil"/>
                    <w:tr2bl w:val="nil"/>
                  </w:tcBorders>
                  <w:vAlign w:val="center"/>
                </w:tcPr>
                <w:p>
                  <w:pPr>
                    <w:pStyle w:val="29"/>
                    <w:spacing w:line="240" w:lineRule="auto"/>
                    <w:ind w:firstLine="0" w:firstLineChars="0"/>
                    <w:jc w:val="center"/>
                    <w:rPr>
                      <w:rFonts w:ascii="Times New Roman" w:hAnsi="Times New Roman" w:cs="Times New Roman"/>
                      <w:color w:val="000000" w:themeColor="text1"/>
                      <w:sz w:val="21"/>
                      <w:szCs w:val="21"/>
                      <w:u w:val="single"/>
                      <w14:textFill>
                        <w14:solidFill>
                          <w14:schemeClr w14:val="tx1"/>
                        </w14:solidFill>
                      </w14:textFill>
                    </w:rPr>
                  </w:pPr>
                  <w:r>
                    <w:rPr>
                      <w:rFonts w:hint="eastAsia" w:ascii="Times New Roman" w:hAnsi="Times New Roman" w:cs="Times New Roman"/>
                      <w:color w:val="000000" w:themeColor="text1"/>
                      <w:sz w:val="21"/>
                      <w:szCs w:val="21"/>
                      <w:u w:val="single"/>
                      <w14:textFill>
                        <w14:solidFill>
                          <w14:schemeClr w14:val="tx1"/>
                        </w14:solidFill>
                      </w14:textFill>
                    </w:rPr>
                    <w:t>50</w:t>
                  </w:r>
                </w:p>
              </w:tc>
            </w:tr>
          </w:tbl>
          <w:p>
            <w:pPr>
              <w:pStyle w:val="29"/>
              <w:ind w:firstLine="48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根据上表所示，本项目危险物质的数量与临界量比值Q=</w:t>
            </w:r>
            <w:r>
              <w:rPr>
                <w:rFonts w:hint="eastAsia" w:ascii="Times New Roman" w:hAnsi="Times New Roman" w:cs="Times New Roman"/>
                <w:color w:val="000000" w:themeColor="text1"/>
                <w:szCs w:val="24"/>
                <w14:textFill>
                  <w14:solidFill>
                    <w14:schemeClr w14:val="tx1"/>
                  </w14:solidFill>
                </w14:textFill>
              </w:rPr>
              <w:t>0.</w:t>
            </w:r>
            <w:r>
              <w:rPr>
                <w:rFonts w:ascii="Times New Roman" w:hAnsi="Times New Roman" w:cs="Times New Roman"/>
                <w:color w:val="000000" w:themeColor="text1"/>
                <w:szCs w:val="24"/>
                <w14:textFill>
                  <w14:solidFill>
                    <w14:schemeClr w14:val="tx1"/>
                  </w14:solidFill>
                </w14:textFill>
              </w:rPr>
              <w:t>73098，Q=</w:t>
            </w:r>
            <w:r>
              <w:rPr>
                <w:rFonts w:hint="eastAsia" w:ascii="Times New Roman" w:hAnsi="Times New Roman" w:cs="Times New Roman"/>
                <w:color w:val="000000" w:themeColor="text1"/>
                <w:szCs w:val="24"/>
                <w14:textFill>
                  <w14:solidFill>
                    <w14:schemeClr w14:val="tx1"/>
                  </w14:solidFill>
                </w14:textFill>
              </w:rPr>
              <w:t>0.</w:t>
            </w:r>
            <w:r>
              <w:rPr>
                <w:rFonts w:ascii="Times New Roman" w:hAnsi="Times New Roman" w:cs="Times New Roman"/>
                <w:color w:val="000000" w:themeColor="text1"/>
                <w:szCs w:val="24"/>
                <w14:textFill>
                  <w14:solidFill>
                    <w14:schemeClr w14:val="tx1"/>
                  </w14:solidFill>
                </w14:textFill>
              </w:rPr>
              <w:t>03098＜1，因此本项目风险潜势为I。</w:t>
            </w:r>
          </w:p>
          <w:p>
            <w:pPr>
              <w:rPr>
                <w:rFonts w:ascii="Times New Roman" w:hAnsi="Times New Roman" w:cs="Times New Roman"/>
              </w:rPr>
            </w:pPr>
            <w:r>
              <w:rPr>
                <w:rFonts w:ascii="Times New Roman" w:hAnsi="Times New Roman" w:cs="Times New Roman"/>
              </w:rPr>
              <w:t>（2）评价等级判定</w:t>
            </w:r>
          </w:p>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环境风险评价工作等级划分为一级、二级、三级。根据建设项目设计的物质及工艺系统危险性和所在地的环境敏感性确定环境风险潜势，按照下表确定工作等级。风险潜势为IV及以上，进行一级评价；风险潜势为III，进行二级评价；风险潜势为II，进行三级评价；风险潜势为I，可开展简单分析。</w:t>
            </w:r>
          </w:p>
          <w:p>
            <w:pPr>
              <w:spacing w:line="360" w:lineRule="auto"/>
              <w:jc w:val="center"/>
              <w:rPr>
                <w:rFonts w:ascii="Times New Roman" w:hAnsi="Times New Roman" w:cs="Times New Roman"/>
                <w:b/>
                <w:bCs/>
                <w:color w:val="000000" w:themeColor="text1"/>
                <w:szCs w:val="24"/>
                <w14:textFill>
                  <w14:solidFill>
                    <w14:schemeClr w14:val="tx1"/>
                  </w14:solidFill>
                </w14:textFill>
              </w:rPr>
            </w:pPr>
            <w:r>
              <w:rPr>
                <w:rFonts w:ascii="Times New Roman" w:hAnsi="Times New Roman" w:cs="Times New Roman"/>
                <w:b/>
                <w:bCs/>
                <w:color w:val="000000" w:themeColor="text1"/>
                <w:szCs w:val="24"/>
                <w14:textFill>
                  <w14:solidFill>
                    <w14:schemeClr w14:val="tx1"/>
                  </w14:solidFill>
                </w14:textFill>
              </w:rPr>
              <w:t>表7-25  评价工作等级划分</w:t>
            </w:r>
          </w:p>
          <w:tbl>
            <w:tblPr>
              <w:tblStyle w:val="24"/>
              <w:tblW w:w="9072" w:type="dxa"/>
              <w:jc w:val="center"/>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Layout w:type="autofit"/>
              <w:tblCellMar>
                <w:top w:w="0" w:type="dxa"/>
                <w:left w:w="108" w:type="dxa"/>
                <w:bottom w:w="0" w:type="dxa"/>
                <w:right w:w="108" w:type="dxa"/>
              </w:tblCellMar>
            </w:tblPr>
            <w:tblGrid>
              <w:gridCol w:w="1814"/>
              <w:gridCol w:w="1814"/>
              <w:gridCol w:w="1815"/>
              <w:gridCol w:w="1814"/>
              <w:gridCol w:w="1815"/>
            </w:tblGrid>
            <w:tr>
              <w:tblPrEx>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CellMar>
                  <w:top w:w="0" w:type="dxa"/>
                  <w:left w:w="108" w:type="dxa"/>
                  <w:bottom w:w="0" w:type="dxa"/>
                  <w:right w:w="108" w:type="dxa"/>
                </w:tblCellMar>
              </w:tblPrEx>
              <w:trPr>
                <w:jc w:val="center"/>
              </w:trPr>
              <w:tc>
                <w:tcPr>
                  <w:tcW w:w="1814"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环境风险潜势</w:t>
                  </w:r>
                </w:p>
              </w:tc>
              <w:tc>
                <w:tcPr>
                  <w:tcW w:w="1814"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IV、IV+</w:t>
                  </w:r>
                </w:p>
              </w:tc>
              <w:tc>
                <w:tcPr>
                  <w:tcW w:w="1815"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III</w:t>
                  </w:r>
                </w:p>
              </w:tc>
              <w:tc>
                <w:tcPr>
                  <w:tcW w:w="1814"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II</w:t>
                  </w:r>
                </w:p>
              </w:tc>
              <w:tc>
                <w:tcPr>
                  <w:tcW w:w="1815"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I</w:t>
                  </w:r>
                </w:p>
              </w:tc>
            </w:tr>
            <w:tr>
              <w:tblPrEx>
                <w:tblBorders>
                  <w:top w:val="single" w:color="auto" w:sz="12" w:space="0"/>
                  <w:left w:val="none" w:color="auto" w:sz="0" w:space="0"/>
                  <w:bottom w:val="single" w:color="auto" w:sz="12" w:space="0"/>
                  <w:right w:val="none" w:color="auto" w:sz="0" w:space="0"/>
                  <w:insideH w:val="single" w:color="auto" w:sz="12" w:space="0"/>
                  <w:insideV w:val="single" w:color="auto" w:sz="4" w:space="0"/>
                </w:tblBorders>
                <w:tblCellMar>
                  <w:top w:w="0" w:type="dxa"/>
                  <w:left w:w="108" w:type="dxa"/>
                  <w:bottom w:w="0" w:type="dxa"/>
                  <w:right w:w="108" w:type="dxa"/>
                </w:tblCellMar>
              </w:tblPrEx>
              <w:trPr>
                <w:jc w:val="center"/>
              </w:trPr>
              <w:tc>
                <w:tcPr>
                  <w:tcW w:w="1814" w:type="dxa"/>
                </w:tcPr>
                <w:p>
                  <w:pPr>
                    <w:pStyle w:val="29"/>
                    <w:spacing w:line="240" w:lineRule="auto"/>
                    <w:ind w:firstLine="0" w:firstLineChars="0"/>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评价工作等级</w:t>
                  </w:r>
                </w:p>
              </w:tc>
              <w:tc>
                <w:tcPr>
                  <w:tcW w:w="1814" w:type="dxa"/>
                </w:tcPr>
                <w:p>
                  <w:pPr>
                    <w:pStyle w:val="29"/>
                    <w:spacing w:line="240" w:lineRule="auto"/>
                    <w:ind w:firstLine="0" w:firstLineChars="0"/>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二</w:t>
                  </w:r>
                </w:p>
              </w:tc>
              <w:tc>
                <w:tcPr>
                  <w:tcW w:w="1815" w:type="dxa"/>
                </w:tcPr>
                <w:p>
                  <w:pPr>
                    <w:pStyle w:val="29"/>
                    <w:spacing w:line="240" w:lineRule="auto"/>
                    <w:ind w:firstLine="0" w:firstLineChars="0"/>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二</w:t>
                  </w:r>
                </w:p>
              </w:tc>
              <w:tc>
                <w:tcPr>
                  <w:tcW w:w="1814" w:type="dxa"/>
                </w:tcPr>
                <w:p>
                  <w:pPr>
                    <w:pStyle w:val="29"/>
                    <w:spacing w:line="240" w:lineRule="auto"/>
                    <w:ind w:firstLine="0" w:firstLineChars="0"/>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三</w:t>
                  </w:r>
                </w:p>
              </w:tc>
              <w:tc>
                <w:tcPr>
                  <w:tcW w:w="1815" w:type="dxa"/>
                </w:tcPr>
                <w:p>
                  <w:pPr>
                    <w:pStyle w:val="29"/>
                    <w:spacing w:line="240" w:lineRule="auto"/>
                    <w:ind w:firstLine="0" w:firstLineChars="0"/>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简单分析</w:t>
                  </w:r>
                </w:p>
              </w:tc>
            </w:tr>
          </w:tbl>
          <w:p>
            <w:pPr>
              <w:ind w:firstLine="480" w:firstLineChars="200"/>
              <w:rPr>
                <w:rFonts w:ascii="Times New Roman" w:hAnsi="Times New Roman" w:cs="Times New Roman"/>
                <w:color w:val="000000" w:themeColor="text1"/>
                <w:szCs w:val="24"/>
                <w14:textFill>
                  <w14:solidFill>
                    <w14:schemeClr w14:val="tx1"/>
                  </w14:solidFill>
                </w14:textFill>
              </w:rPr>
            </w:pPr>
            <w:r>
              <w:rPr>
                <w:rFonts w:ascii="Times New Roman" w:hAnsi="Times New Roman" w:cs="Times New Roman"/>
                <w:color w:val="000000" w:themeColor="text1"/>
                <w:szCs w:val="24"/>
                <w14:textFill>
                  <w14:solidFill>
                    <w14:schemeClr w14:val="tx1"/>
                  </w14:solidFill>
                </w14:textFill>
              </w:rPr>
              <w:t>综上所述，本项目评价工作等级为简单分析。</w:t>
            </w:r>
          </w:p>
          <w:p>
            <w:pPr>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（3）项目危险品危险性分析</w:t>
            </w:r>
          </w:p>
          <w:p>
            <w:pPr>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本项目中产生的医疗废物有一定的环境风险。详细内容见表7-26。</w:t>
            </w:r>
          </w:p>
          <w:p>
            <w:pPr>
              <w:spacing w:line="36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Cs w:val="24"/>
                <w14:textFill>
                  <w14:solidFill>
                    <w14:schemeClr w14:val="tx1"/>
                  </w14:solidFill>
                </w14:textFill>
              </w:rPr>
              <w:t>表7-26  项目环境风险简单分析内容表</w:t>
            </w:r>
          </w:p>
          <w:tbl>
            <w:tblPr>
              <w:tblStyle w:val="24"/>
              <w:tblW w:w="907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937"/>
              <w:gridCol w:w="1512"/>
              <w:gridCol w:w="1680"/>
              <w:gridCol w:w="1344"/>
              <w:gridCol w:w="15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087" w:type="dxa"/>
                  <w:tcBorders>
                    <w:bottom w:val="single" w:color="auto" w:sz="12" w:space="0"/>
                  </w:tcBorders>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ascii="Times New Roman" w:hAnsi="Times New Roman" w:cs="Times New Roman"/>
                      <w:b/>
                      <w:bCs/>
                      <w:color w:val="000000" w:themeColor="text1"/>
                      <w:sz w:val="21"/>
                      <w:szCs w:val="21"/>
                      <w14:textFill>
                        <w14:solidFill>
                          <w14:schemeClr w14:val="tx1"/>
                        </w14:solidFill>
                      </w14:textFill>
                    </w:rPr>
                    <w:t>建设项目名称</w:t>
                  </w:r>
                </w:p>
              </w:tc>
              <w:tc>
                <w:tcPr>
                  <w:tcW w:w="6985" w:type="dxa"/>
                  <w:gridSpan w:val="5"/>
                  <w:tcBorders>
                    <w:bottom w:val="single" w:color="auto" w:sz="12" w:space="0"/>
                  </w:tcBorders>
                </w:tcPr>
                <w:p>
                  <w:pPr>
                    <w:spacing w:line="240" w:lineRule="auto"/>
                    <w:jc w:val="center"/>
                    <w:rPr>
                      <w:rFonts w:ascii="Times New Roman" w:hAnsi="Times New Roman" w:cs="Times New Roman"/>
                      <w:b/>
                      <w:bCs/>
                      <w:color w:val="000000" w:themeColor="text1"/>
                      <w:sz w:val="21"/>
                      <w:szCs w:val="21"/>
                      <w14:textFill>
                        <w14:solidFill>
                          <w14:schemeClr w14:val="tx1"/>
                        </w14:solidFill>
                      </w14:textFill>
                    </w:rPr>
                  </w:pPr>
                  <w:r>
                    <w:rPr>
                      <w:rFonts w:hint="eastAsia" w:ascii="Times New Roman" w:hAnsi="Times New Roman" w:cs="Times New Roman"/>
                      <w:b/>
                      <w:bCs/>
                      <w:color w:val="000000" w:themeColor="text1"/>
                      <w:sz w:val="21"/>
                      <w:szCs w:val="21"/>
                      <w14:textFill>
                        <w14:solidFill>
                          <w14:schemeClr w14:val="tx1"/>
                        </w14:solidFill>
                      </w14:textFill>
                    </w:rPr>
                    <w:t>木里港学校新建工程</w:t>
                  </w:r>
                  <w:r>
                    <w:rPr>
                      <w:rFonts w:ascii="Times New Roman" w:hAnsi="Times New Roman" w:cs="Times New Roman"/>
                      <w:b/>
                      <w:bCs/>
                      <w:color w:val="000000" w:themeColor="text1"/>
                      <w:sz w:val="21"/>
                      <w:szCs w:val="21"/>
                      <w14:textFill>
                        <w14:solidFill>
                          <w14:schemeClr w14:val="tx1"/>
                        </w14:solidFill>
                      </w14:textFill>
                    </w:rPr>
                    <w:t>建设项目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87"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建设地点</w:t>
                  </w:r>
                </w:p>
              </w:tc>
              <w:tc>
                <w:tcPr>
                  <w:tcW w:w="937"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湖南省</w:t>
                  </w:r>
                </w:p>
              </w:tc>
              <w:tc>
                <w:tcPr>
                  <w:tcW w:w="1512"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（岳阳）市</w:t>
                  </w:r>
                </w:p>
              </w:tc>
              <w:tc>
                <w:tcPr>
                  <w:tcW w:w="1680"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（经济开发）区</w:t>
                  </w:r>
                </w:p>
              </w:tc>
              <w:tc>
                <w:tcPr>
                  <w:tcW w:w="1344"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（/）县</w:t>
                  </w:r>
                </w:p>
              </w:tc>
              <w:tc>
                <w:tcPr>
                  <w:tcW w:w="1512" w:type="dxa"/>
                  <w:tcBorders>
                    <w:top w:val="single" w:color="auto" w:sz="12" w:space="0"/>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08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地理坐标</w:t>
                  </w:r>
                </w:p>
              </w:tc>
              <w:tc>
                <w:tcPr>
                  <w:tcW w:w="93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经度</w:t>
                  </w:r>
                </w:p>
              </w:tc>
              <w:tc>
                <w:tcPr>
                  <w:tcW w:w="1512"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113°11' 1</w:t>
                  </w:r>
                  <w:r>
                    <w:rPr>
                      <w:rFonts w:hint="eastAsia" w:ascii="Times New Roman" w:hAnsi="Times New Roman" w:cs="Times New Roman"/>
                      <w:color w:val="000000" w:themeColor="text1"/>
                      <w:sz w:val="21"/>
                      <w:szCs w:val="21"/>
                      <w14:textFill>
                        <w14:solidFill>
                          <w14:schemeClr w14:val="tx1"/>
                        </w14:solidFill>
                      </w14:textFill>
                    </w:rPr>
                    <w:t>.96</w:t>
                  </w:r>
                  <w:r>
                    <w:rPr>
                      <w:rFonts w:ascii="Times New Roman" w:hAnsi="Times New Roman" w:cs="Times New Roman"/>
                      <w:color w:val="000000" w:themeColor="text1"/>
                      <w:sz w:val="21"/>
                      <w:szCs w:val="21"/>
                      <w14:textFill>
                        <w14:solidFill>
                          <w14:schemeClr w14:val="tx1"/>
                        </w14:solidFill>
                      </w14:textFill>
                    </w:rPr>
                    <w:t xml:space="preserve"> </w:t>
                  </w:r>
                  <w:r>
                    <w:rPr>
                      <w:rFonts w:ascii="Calibri" w:hAnsi="Calibri" w:cs="Calibr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E</w:t>
                  </w:r>
                </w:p>
              </w:tc>
              <w:tc>
                <w:tcPr>
                  <w:tcW w:w="1680"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纬度</w:t>
                  </w:r>
                </w:p>
              </w:tc>
              <w:tc>
                <w:tcPr>
                  <w:tcW w:w="2856" w:type="dxa"/>
                  <w:gridSpan w:val="2"/>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29°2</w:t>
                  </w:r>
                  <w:r>
                    <w:rPr>
                      <w:rFonts w:hint="eastAsia" w:ascii="Times New Roman" w:hAnsi="Times New Roman" w:cs="Times New Roman"/>
                      <w:color w:val="000000" w:themeColor="text1"/>
                      <w:sz w:val="21"/>
                      <w:szCs w:val="21"/>
                      <w14:textFill>
                        <w14:solidFill>
                          <w14:schemeClr w14:val="tx1"/>
                        </w14:solidFill>
                      </w14:textFill>
                    </w:rPr>
                    <w:t>0</w:t>
                  </w:r>
                  <w:r>
                    <w:rPr>
                      <w:rFonts w:ascii="Times New Roman" w:hAnsi="Times New Roman" w:cs="Times New Roman"/>
                      <w:color w:val="000000" w:themeColor="text1"/>
                      <w:sz w:val="21"/>
                      <w:szCs w:val="21"/>
                      <w14:textFill>
                        <w14:solidFill>
                          <w14:schemeClr w14:val="tx1"/>
                        </w14:solidFill>
                      </w14:textFill>
                    </w:rPr>
                    <w:t xml:space="preserve"> '</w:t>
                  </w:r>
                  <w:r>
                    <w:rPr>
                      <w:rFonts w:hint="eastAsia" w:ascii="Times New Roman" w:hAnsi="Times New Roman" w:cs="Times New Roman"/>
                      <w:color w:val="000000" w:themeColor="text1"/>
                      <w:sz w:val="21"/>
                      <w:szCs w:val="21"/>
                      <w14:textFill>
                        <w14:solidFill>
                          <w14:schemeClr w14:val="tx1"/>
                        </w14:solidFill>
                      </w14:textFill>
                    </w:rPr>
                    <w:t>7.07</w:t>
                  </w:r>
                  <w:r>
                    <w:rPr>
                      <w:rFonts w:ascii="Times New Roman" w:hAnsi="Times New Roman" w:cs="Times New Roman"/>
                      <w:color w:val="000000" w:themeColor="text1"/>
                      <w:sz w:val="21"/>
                      <w:szCs w:val="21"/>
                      <w14:textFill>
                        <w14:solidFill>
                          <w14:schemeClr w14:val="tx1"/>
                        </w14:solidFill>
                      </w14:textFill>
                    </w:rPr>
                    <w:t xml:space="preserve"> </w:t>
                  </w:r>
                  <w:r>
                    <w:rPr>
                      <w:rFonts w:ascii="Calibri" w:hAnsi="Calibri" w:cs="Calibr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8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主要危险物质分布</w:t>
                  </w:r>
                </w:p>
              </w:tc>
              <w:tc>
                <w:tcPr>
                  <w:tcW w:w="6985" w:type="dxa"/>
                  <w:gridSpan w:val="5"/>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医疗废物</w:t>
                  </w:r>
                  <w:r>
                    <w:rPr>
                      <w:rFonts w:hint="eastAsia" w:ascii="Times New Roman" w:hAnsi="Times New Roman" w:cs="Times New Roman"/>
                      <w:color w:val="000000" w:themeColor="text1"/>
                      <w:sz w:val="21"/>
                      <w:szCs w:val="21"/>
                      <w14:textFill>
                        <w14:solidFill>
                          <w14:schemeClr w14:val="tx1"/>
                        </w14:solidFill>
                      </w14:textFill>
                    </w:rPr>
                    <w:t>、实验室废物（废酸、废碱、废包装容器、生物培养基、化学实验室清洗废液）、污泥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8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环境影响途径及危害后果（大气、地表水、地下水等）</w:t>
                  </w:r>
                </w:p>
              </w:tc>
              <w:tc>
                <w:tcPr>
                  <w:tcW w:w="6985" w:type="dxa"/>
                  <w:gridSpan w:val="5"/>
                  <w:tcBorders>
                    <w:tl2br w:val="nil"/>
                    <w:tr2bl w:val="nil"/>
                  </w:tcBorders>
                </w:tcPr>
                <w:p>
                  <w:pPr>
                    <w:numPr>
                      <w:ilvl w:val="0"/>
                      <w:numId w:val="11"/>
                    </w:numPr>
                    <w:spacing w:before="156" w:beforeLines="50"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医疗废物</w:t>
                  </w:r>
                  <w:r>
                    <w:rPr>
                      <w:rFonts w:hint="eastAsia" w:ascii="Times New Roman" w:hAnsi="Times New Roman" w:cs="Times New Roman"/>
                      <w:color w:val="000000" w:themeColor="text1"/>
                      <w:sz w:val="21"/>
                      <w:szCs w:val="21"/>
                      <w14:textFill>
                        <w14:solidFill>
                          <w14:schemeClr w14:val="tx1"/>
                        </w14:solidFill>
                      </w14:textFill>
                    </w:rPr>
                    <w:t>、实验室废物、污泥</w:t>
                  </w:r>
                  <w:r>
                    <w:rPr>
                      <w:rFonts w:ascii="Times New Roman" w:hAnsi="Times New Roman" w:cs="Times New Roman"/>
                      <w:color w:val="000000" w:themeColor="text1"/>
                      <w:sz w:val="21"/>
                      <w:szCs w:val="21"/>
                      <w14:textFill>
                        <w14:solidFill>
                          <w14:schemeClr w14:val="tx1"/>
                        </w14:solidFill>
                      </w14:textFill>
                    </w:rPr>
                    <w:t>泄漏、散落、流失对环境造成影响；可渗透污染大气环境、水体、土壤。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8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风险防范措施要求</w:t>
                  </w:r>
                </w:p>
              </w:tc>
              <w:tc>
                <w:tcPr>
                  <w:tcW w:w="6985" w:type="dxa"/>
                  <w:gridSpan w:val="5"/>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加强风险防范，严格按照规定进行转运、贮存、收集以及处理工作；加强安全生产教育。危废暂存间设专人负责，定期对各类废物等进行检查。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87" w:type="dxa"/>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填表说明（列出项目相关信息及评价说明）</w:t>
                  </w:r>
                </w:p>
              </w:tc>
              <w:tc>
                <w:tcPr>
                  <w:tcW w:w="6985" w:type="dxa"/>
                  <w:gridSpan w:val="5"/>
                  <w:tcBorders>
                    <w:tl2br w:val="nil"/>
                    <w:tr2bl w:val="nil"/>
                  </w:tcBorders>
                </w:tcPr>
                <w:p>
                  <w:pPr>
                    <w:spacing w:line="240" w:lineRule="auto"/>
                    <w:jc w:val="center"/>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本项目环境风险潜势为I，通过采取相应的风险防范措施，项目的环境风险可控。一旦发生事故，建设单位应立即执行事故应急预案，采取合理的事故应急处理措施，将事故影响降到最低限度。</w:t>
                  </w:r>
                </w:p>
              </w:tc>
            </w:tr>
          </w:tbl>
          <w:p>
            <w:pPr>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2.5.2环境风险事故影响分析</w:t>
            </w:r>
          </w:p>
          <w:p>
            <w:pPr>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r>
              <w:rPr>
                <w:rFonts w:hint="eastAsia" w:ascii="Times New Roman" w:hAnsi="Times New Roman" w:cs="Times New Roman"/>
                <w:color w:val="000000" w:themeColor="text1"/>
                <w14:textFill>
                  <w14:solidFill>
                    <w14:schemeClr w14:val="tx1"/>
                  </w14:solidFill>
                </w14:textFill>
              </w:rPr>
              <w:t>危险废物</w:t>
            </w:r>
            <w:r>
              <w:rPr>
                <w:rFonts w:ascii="Times New Roman" w:hAnsi="Times New Roman" w:cs="Times New Roman"/>
                <w:color w:val="000000" w:themeColor="text1"/>
                <w14:textFill>
                  <w14:solidFill>
                    <w14:schemeClr w14:val="tx1"/>
                  </w14:solidFill>
                </w14:textFill>
              </w:rPr>
              <w:t>事故排放风险分析</w:t>
            </w:r>
          </w:p>
          <w:p>
            <w:pPr>
              <w:ind w:firstLine="48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医疗废物、实验室废物、污水处理站污泥在</w:t>
            </w:r>
            <w:r>
              <w:rPr>
                <w:rFonts w:ascii="Times New Roman" w:hAnsi="Times New Roman" w:cs="Times New Roman"/>
                <w:color w:val="000000" w:themeColor="text1"/>
                <w14:textFill>
                  <w14:solidFill>
                    <w14:schemeClr w14:val="tx1"/>
                  </w14:solidFill>
                </w14:textFill>
              </w:rPr>
              <w:t>收集、贮存、场内转移过程中的风险分析</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在一般情况下，</w:t>
            </w:r>
            <w:r>
              <w:rPr>
                <w:rFonts w:hint="eastAsia" w:ascii="Times New Roman" w:hAnsi="Times New Roman" w:cs="Times New Roman"/>
                <w:color w:val="000000" w:themeColor="text1"/>
                <w14:textFill>
                  <w14:solidFill>
                    <w14:schemeClr w14:val="tx1"/>
                  </w14:solidFill>
                </w14:textFill>
              </w:rPr>
              <w:t>危险</w:t>
            </w:r>
            <w:r>
              <w:rPr>
                <w:rFonts w:ascii="Times New Roman" w:hAnsi="Times New Roman" w:cs="Times New Roman"/>
                <w:color w:val="000000" w:themeColor="text1"/>
                <w14:textFill>
                  <w14:solidFill>
                    <w14:schemeClr w14:val="tx1"/>
                  </w14:solidFill>
                </w14:textFill>
              </w:rPr>
              <w:t>废物收集、贮存和运送过程中出现事故的原因主要有人为管理及操作，包括：①收集容器不符合规范要求，如塑料袋强度、韧性不够、废物箱强度及密封性不够等，导致</w:t>
            </w:r>
            <w:r>
              <w:rPr>
                <w:rFonts w:hint="eastAsia" w:ascii="Times New Roman" w:hAnsi="Times New Roman" w:cs="Times New Roman"/>
                <w:color w:val="000000" w:themeColor="text1"/>
                <w14:textFill>
                  <w14:solidFill>
                    <w14:schemeClr w14:val="tx1"/>
                  </w14:solidFill>
                </w14:textFill>
              </w:rPr>
              <w:t>医疗废物、实验室废物、污水处理站污泥</w:t>
            </w:r>
            <w:r>
              <w:rPr>
                <w:rFonts w:ascii="Times New Roman" w:hAnsi="Times New Roman" w:cs="Times New Roman"/>
                <w:color w:val="000000" w:themeColor="text1"/>
                <w14:textFill>
                  <w14:solidFill>
                    <w14:schemeClr w14:val="tx1"/>
                  </w14:solidFill>
                </w14:textFill>
              </w:rPr>
              <w:t>散落或漏失。②</w:t>
            </w:r>
            <w:r>
              <w:rPr>
                <w:rFonts w:hint="eastAsia" w:ascii="Times New Roman" w:hAnsi="Times New Roman" w:cs="Times New Roman"/>
                <w:color w:val="000000" w:themeColor="text1"/>
                <w14:textFill>
                  <w14:solidFill>
                    <w14:schemeClr w14:val="tx1"/>
                  </w14:solidFill>
                </w14:textFill>
              </w:rPr>
              <w:t>危险</w:t>
            </w:r>
            <w:r>
              <w:rPr>
                <w:rFonts w:ascii="Times New Roman" w:hAnsi="Times New Roman" w:cs="Times New Roman"/>
                <w:color w:val="000000" w:themeColor="text1"/>
                <w14:textFill>
                  <w14:solidFill>
                    <w14:schemeClr w14:val="tx1"/>
                  </w14:solidFill>
                </w14:textFill>
              </w:rPr>
              <w:t>废物存放地不满足</w:t>
            </w:r>
            <w:r>
              <w:rPr>
                <w:rFonts w:hint="eastAsia" w:ascii="Times New Roman" w:hAnsi="Times New Roman" w:cs="Times New Roman"/>
                <w:color w:val="000000" w:themeColor="text1"/>
                <w14:textFill>
                  <w14:solidFill>
                    <w14:schemeClr w14:val="tx1"/>
                  </w14:solidFill>
                </w14:textFill>
              </w:rPr>
              <w:t>危险</w:t>
            </w:r>
            <w:r>
              <w:rPr>
                <w:rFonts w:ascii="Times New Roman" w:hAnsi="Times New Roman" w:cs="Times New Roman"/>
                <w:color w:val="000000" w:themeColor="text1"/>
                <w14:textFill>
                  <w14:solidFill>
                    <w14:schemeClr w14:val="tx1"/>
                  </w14:solidFill>
                </w14:textFill>
              </w:rPr>
              <w:t>废物存放要求，导致</w:t>
            </w:r>
            <w:r>
              <w:rPr>
                <w:rFonts w:hint="eastAsia" w:ascii="Times New Roman" w:hAnsi="Times New Roman" w:cs="Times New Roman"/>
                <w:color w:val="000000" w:themeColor="text1"/>
                <w14:textFill>
                  <w14:solidFill>
                    <w14:schemeClr w14:val="tx1"/>
                  </w14:solidFill>
                </w14:textFill>
              </w:rPr>
              <w:t>医疗废物、实验室废物、污水处理站污泥</w:t>
            </w:r>
            <w:r>
              <w:rPr>
                <w:rFonts w:ascii="Times New Roman" w:hAnsi="Times New Roman" w:cs="Times New Roman"/>
                <w:color w:val="000000" w:themeColor="text1"/>
                <w14:textFill>
                  <w14:solidFill>
                    <w14:schemeClr w14:val="tx1"/>
                  </w14:solidFill>
                </w14:textFill>
              </w:rPr>
              <w:t>包装破损，废物腐坏，或经水浸、风雨及动物、雀鸟、鼠类、昆虫等途径扩散。③场内转移过程中，抛掷、投下、践踏或在地上拖动载有</w:t>
            </w:r>
            <w:r>
              <w:rPr>
                <w:rFonts w:hint="eastAsia" w:ascii="Times New Roman" w:hAnsi="Times New Roman" w:cs="Times New Roman"/>
                <w:color w:val="000000" w:themeColor="text1"/>
                <w14:textFill>
                  <w14:solidFill>
                    <w14:schemeClr w14:val="tx1"/>
                  </w14:solidFill>
                </w14:textFill>
              </w:rPr>
              <w:t>医疗废物、实验室废物、污水处理站污泥</w:t>
            </w:r>
            <w:r>
              <w:rPr>
                <w:rFonts w:ascii="Times New Roman" w:hAnsi="Times New Roman" w:cs="Times New Roman"/>
                <w:color w:val="000000" w:themeColor="text1"/>
                <w14:textFill>
                  <w14:solidFill>
                    <w14:schemeClr w14:val="tx1"/>
                  </w14:solidFill>
                </w14:textFill>
              </w:rPr>
              <w:t>的容器，使</w:t>
            </w:r>
            <w:r>
              <w:rPr>
                <w:rFonts w:hint="eastAsia" w:ascii="Times New Roman" w:hAnsi="Times New Roman" w:cs="Times New Roman"/>
                <w:color w:val="000000" w:themeColor="text1"/>
                <w14:textFill>
                  <w14:solidFill>
                    <w14:schemeClr w14:val="tx1"/>
                  </w14:solidFill>
                </w14:textFill>
              </w:rPr>
              <w:t>医疗废物、实验室废物、污水处理站污泥</w:t>
            </w:r>
            <w:r>
              <w:rPr>
                <w:rFonts w:ascii="Times New Roman" w:hAnsi="Times New Roman" w:cs="Times New Roman"/>
                <w:color w:val="000000" w:themeColor="text1"/>
                <w14:textFill>
                  <w14:solidFill>
                    <w14:schemeClr w14:val="tx1"/>
                  </w14:solidFill>
                </w14:textFill>
              </w:rPr>
              <w:t>废物散落或漏失。</w:t>
            </w:r>
          </w:p>
          <w:p>
            <w:pPr>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由于医疗废物具有空间污染、急性传染和潜在性污染等特征，其病毒、病菌的危害性是普通生活垃圾的几十、几百甚至上千倍，如果处理不当而泄漏，将造成水体、大气、土壤的污染及对人体的直接危害，甚至成为疫病流行的源头。在医疗废物的收集、场内转移过程中与医院内部人员的接触几率较大、接触距离较短，在其中可能存在的传染性病原体容易因此而向社会传播。可见，如果对医疗废物管理不恰当，则对环境和人体健康造成的危害是巨大的</w:t>
            </w:r>
            <w:r>
              <w:rPr>
                <w:rFonts w:hint="eastAsia" w:ascii="Times New Roman" w:hAnsi="Times New Roman" w:cs="Times New Roman"/>
                <w:color w:val="000000" w:themeColor="text1"/>
                <w14:textFill>
                  <w14:solidFill>
                    <w14:schemeClr w14:val="tx1"/>
                  </w14:solidFill>
                </w14:textFill>
              </w:rPr>
              <w:t>；实验室废物具有一定的腐蚀性，</w:t>
            </w:r>
            <w:r>
              <w:rPr>
                <w:rFonts w:ascii="Times New Roman" w:hAnsi="Times New Roman" w:cs="Times New Roman"/>
                <w:color w:val="000000" w:themeColor="text1"/>
                <w14:textFill>
                  <w14:solidFill>
                    <w14:schemeClr w14:val="tx1"/>
                  </w14:solidFill>
                </w14:textFill>
              </w:rPr>
              <w:t>如果处理不当而泄漏，将造成水体、大气、土壤的污染及对人体的直接危害</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rPr>
              <w:t>经自建的污水处理</w:t>
            </w:r>
            <w:r>
              <w:rPr>
                <w:rFonts w:hint="eastAsia" w:ascii="Times New Roman" w:hAnsi="Times New Roman" w:cs="Times New Roman"/>
              </w:rPr>
              <w:t>站</w:t>
            </w:r>
            <w:r>
              <w:rPr>
                <w:rFonts w:ascii="Times New Roman" w:hAnsi="Times New Roman" w:cs="Times New Roman"/>
              </w:rPr>
              <w:t>处理后产生</w:t>
            </w:r>
            <w:r>
              <w:rPr>
                <w:rFonts w:hint="eastAsia" w:ascii="Times New Roman" w:hAnsi="Times New Roman" w:cs="Times New Roman"/>
              </w:rPr>
              <w:t>的</w:t>
            </w:r>
            <w:r>
              <w:rPr>
                <w:rFonts w:ascii="Times New Roman" w:hAnsi="Times New Roman" w:cs="Times New Roman"/>
              </w:rPr>
              <w:t>污泥，考虑到化学实验过程中会使用有机溶剂、催化剂等物质，可能含有一定的有毒物质</w:t>
            </w:r>
            <w:r>
              <w:rPr>
                <w:rFonts w:hint="eastAsia" w:ascii="Times New Roman" w:hAnsi="Times New Roman" w:cs="Times New Roman"/>
              </w:rPr>
              <w:t>，若收集、处置不当，会对周边大气、土壤、地表水环境造成危害。</w:t>
            </w:r>
          </w:p>
          <w:p>
            <w:pPr>
              <w:ind w:firstLine="480" w:firstLineChars="200"/>
              <w:rPr>
                <w:rFonts w:ascii="Times New Roman" w:hAnsi="Times New Roman" w:cs="Times New Roman"/>
                <w:u w:val="single"/>
              </w:rPr>
            </w:pPr>
            <w:r>
              <w:rPr>
                <w:rFonts w:ascii="Times New Roman" w:hAnsi="Times New Roman" w:cs="Times New Roman"/>
                <w:u w:val="single"/>
              </w:rPr>
              <w:t>（2）</w:t>
            </w:r>
            <w:r>
              <w:rPr>
                <w:rFonts w:hint="eastAsia" w:ascii="Times New Roman" w:hAnsi="Times New Roman" w:cs="Times New Roman"/>
                <w:u w:val="single"/>
              </w:rPr>
              <w:t>危险</w:t>
            </w:r>
            <w:r>
              <w:rPr>
                <w:rFonts w:ascii="Times New Roman" w:hAnsi="Times New Roman" w:cs="Times New Roman"/>
                <w:u w:val="single"/>
              </w:rPr>
              <w:t xml:space="preserve">废物收集、贮存、场内转移过程中的事故防范措施 </w:t>
            </w:r>
          </w:p>
          <w:p>
            <w:pPr>
              <w:ind w:firstLine="480" w:firstLineChars="200"/>
              <w:rPr>
                <w:rFonts w:ascii="Times New Roman" w:hAnsi="Times New Roman" w:cs="Times New Roman"/>
                <w:u w:val="single"/>
              </w:rPr>
            </w:pPr>
            <w:r>
              <w:rPr>
                <w:rFonts w:ascii="Times New Roman" w:hAnsi="Times New Roman" w:cs="Times New Roman"/>
                <w:u w:val="single"/>
              </w:rPr>
              <w:t>鉴于医疗废物、实验室废物、污水处理站污泥</w:t>
            </w:r>
            <w:r>
              <w:rPr>
                <w:rFonts w:hint="eastAsia" w:ascii="Times New Roman" w:hAnsi="Times New Roman" w:cs="Times New Roman"/>
                <w:u w:val="single"/>
              </w:rPr>
              <w:t>等</w:t>
            </w:r>
            <w:r>
              <w:rPr>
                <w:rFonts w:ascii="Times New Roman" w:hAnsi="Times New Roman" w:cs="Times New Roman"/>
                <w:u w:val="single"/>
              </w:rPr>
              <w:t>在收集、贮存、场内转移过程中存在着一定的风险。为保证</w:t>
            </w:r>
            <w:r>
              <w:rPr>
                <w:rFonts w:hint="eastAsia" w:ascii="Times New Roman" w:hAnsi="Times New Roman" w:cs="Times New Roman"/>
                <w:u w:val="single"/>
              </w:rPr>
              <w:t>危险</w:t>
            </w:r>
            <w:r>
              <w:rPr>
                <w:rFonts w:ascii="Times New Roman" w:hAnsi="Times New Roman" w:cs="Times New Roman"/>
                <w:u w:val="single"/>
              </w:rPr>
              <w:t>废物得到有效处置，使其风险减少到最小程度，应具体采取如下的措施进行防范。</w:t>
            </w:r>
          </w:p>
          <w:p>
            <w:pPr>
              <w:ind w:firstLine="480" w:firstLineChars="200"/>
              <w:rPr>
                <w:rFonts w:ascii="Times New Roman" w:hAnsi="Times New Roman" w:cs="Times New Roman"/>
                <w:u w:val="single"/>
              </w:rPr>
            </w:pPr>
            <w:r>
              <w:rPr>
                <w:rFonts w:ascii="Times New Roman" w:hAnsi="Times New Roman" w:cs="Times New Roman"/>
                <w:u w:val="single"/>
              </w:rPr>
              <w:t xml:space="preserve">A、分类收集 </w:t>
            </w:r>
          </w:p>
          <w:p>
            <w:pPr>
              <w:ind w:firstLine="480" w:firstLineChars="200"/>
              <w:rPr>
                <w:rFonts w:ascii="Times New Roman" w:hAnsi="Times New Roman" w:cs="Times New Roman"/>
                <w:u w:val="single"/>
              </w:rPr>
            </w:pPr>
            <w:r>
              <w:rPr>
                <w:rFonts w:ascii="Times New Roman" w:hAnsi="Times New Roman" w:cs="Times New Roman"/>
                <w:u w:val="single"/>
              </w:rPr>
              <w:t>采用专用容器，明确各类废弃物标识，分类包装，分类堆放，并本着及时、方便、安全、快捷的原则，进行收集。</w:t>
            </w:r>
          </w:p>
          <w:p>
            <w:pPr>
              <w:ind w:firstLine="480" w:firstLineChars="200"/>
              <w:rPr>
                <w:rFonts w:ascii="Times New Roman" w:hAnsi="Times New Roman" w:cs="Times New Roman"/>
                <w:u w:val="single"/>
              </w:rPr>
            </w:pPr>
            <w:r>
              <w:rPr>
                <w:rFonts w:ascii="Times New Roman" w:hAnsi="Times New Roman" w:cs="Times New Roman"/>
                <w:u w:val="single"/>
              </w:rPr>
              <w:t>①及时收集本项目产生的</w:t>
            </w:r>
            <w:r>
              <w:rPr>
                <w:rFonts w:hint="eastAsia" w:ascii="Times New Roman" w:hAnsi="Times New Roman" w:cs="Times New Roman"/>
                <w:u w:val="single"/>
              </w:rPr>
              <w:t>危险</w:t>
            </w:r>
            <w:r>
              <w:rPr>
                <w:rFonts w:ascii="Times New Roman" w:hAnsi="Times New Roman" w:cs="Times New Roman"/>
                <w:u w:val="single"/>
              </w:rPr>
              <w:t>废物，并按照类别分置于防渗漏、防锐器穿透的专用包装物或者密闭的容器内。医疗废物、实验室废物、污水处理站污泥不能混合收集，放入包装物或者容器内的</w:t>
            </w:r>
            <w:r>
              <w:rPr>
                <w:rFonts w:hint="eastAsia" w:ascii="Times New Roman" w:hAnsi="Times New Roman" w:cs="Times New Roman"/>
                <w:u w:val="single"/>
              </w:rPr>
              <w:t>医疗废物</w:t>
            </w:r>
            <w:r>
              <w:rPr>
                <w:rFonts w:ascii="Times New Roman" w:hAnsi="Times New Roman" w:cs="Times New Roman"/>
                <w:u w:val="single"/>
              </w:rPr>
              <w:t>废物不得取出。</w:t>
            </w:r>
          </w:p>
          <w:p>
            <w:pPr>
              <w:ind w:firstLine="480" w:firstLineChars="200"/>
              <w:rPr>
                <w:rFonts w:ascii="Times New Roman" w:hAnsi="Times New Roman" w:cs="Times New Roman"/>
                <w:u w:val="single"/>
              </w:rPr>
            </w:pPr>
            <w:r>
              <w:rPr>
                <w:rFonts w:ascii="Times New Roman" w:hAnsi="Times New Roman" w:cs="Times New Roman"/>
                <w:u w:val="single"/>
              </w:rPr>
              <w:t>②</w:t>
            </w:r>
            <w:r>
              <w:rPr>
                <w:rFonts w:hint="eastAsia" w:ascii="Times New Roman" w:hAnsi="Times New Roman" w:cs="Times New Roman"/>
                <w:u w:val="single"/>
              </w:rPr>
              <w:t>各类危险有</w:t>
            </w:r>
            <w:r>
              <w:rPr>
                <w:rFonts w:ascii="Times New Roman" w:hAnsi="Times New Roman" w:cs="Times New Roman"/>
                <w:u w:val="single"/>
              </w:rPr>
              <w:t>专用包装物、容器，应当有明显的警示标识和警示说明。医疗废物专用包装物、容器的标准和警示标识的规定，按国务院卫生行政主管部门和环境保护行政主管部门等规定执行</w:t>
            </w:r>
            <w:r>
              <w:rPr>
                <w:rFonts w:hint="eastAsia" w:ascii="Times New Roman" w:hAnsi="Times New Roman" w:cs="Times New Roman"/>
                <w:u w:val="single"/>
              </w:rPr>
              <w:t>，其他危险废物如</w:t>
            </w:r>
            <w:r>
              <w:rPr>
                <w:rFonts w:hint="eastAsia" w:ascii="Times New Roman" w:hAnsi="Times New Roman" w:cs="Times New Roman"/>
                <w:color w:val="000000" w:themeColor="text1"/>
                <w:u w:val="single"/>
                <w14:textFill>
                  <w14:solidFill>
                    <w14:schemeClr w14:val="tx1"/>
                  </w14:solidFill>
                </w14:textFill>
              </w:rPr>
              <w:t>实验室废物、污水处理站污泥、等贴有相应的标识标记。</w:t>
            </w:r>
          </w:p>
          <w:p>
            <w:pPr>
              <w:ind w:firstLine="480" w:firstLineChars="200"/>
              <w:rPr>
                <w:rFonts w:ascii="Times New Roman" w:hAnsi="Times New Roman" w:cs="Times New Roman"/>
                <w:u w:val="single"/>
              </w:rPr>
            </w:pPr>
            <w:r>
              <w:rPr>
                <w:rFonts w:ascii="Times New Roman" w:hAnsi="Times New Roman" w:cs="Times New Roman"/>
                <w:u w:val="single"/>
              </w:rPr>
              <w:t>③当盛装的</w:t>
            </w:r>
            <w:r>
              <w:rPr>
                <w:rFonts w:hint="eastAsia" w:ascii="Times New Roman" w:hAnsi="Times New Roman" w:cs="Times New Roman"/>
                <w:u w:val="single"/>
              </w:rPr>
              <w:t>危险</w:t>
            </w:r>
            <w:r>
              <w:rPr>
                <w:rFonts w:ascii="Times New Roman" w:hAnsi="Times New Roman" w:cs="Times New Roman"/>
                <w:u w:val="single"/>
              </w:rPr>
              <w:t xml:space="preserve">废物达到包装物或者容器的3/4时，应当使用有效的封口方式，使包装物或者容器的封口紧实、严密。 </w:t>
            </w:r>
          </w:p>
          <w:p>
            <w:pPr>
              <w:ind w:firstLine="480" w:firstLineChars="200"/>
              <w:rPr>
                <w:rFonts w:ascii="Times New Roman" w:hAnsi="Times New Roman" w:cs="Times New Roman"/>
                <w:u w:val="single"/>
              </w:rPr>
            </w:pPr>
            <w:r>
              <w:rPr>
                <w:rFonts w:ascii="Times New Roman" w:hAnsi="Times New Roman" w:cs="Times New Roman"/>
                <w:u w:val="single"/>
              </w:rPr>
              <w:t xml:space="preserve">B、贮存 </w:t>
            </w:r>
          </w:p>
          <w:p>
            <w:pPr>
              <w:ind w:firstLine="480" w:firstLineChars="200"/>
              <w:rPr>
                <w:rFonts w:ascii="Times New Roman" w:hAnsi="Times New Roman" w:cs="Times New Roman"/>
                <w:u w:val="single"/>
              </w:rPr>
            </w:pPr>
            <w:r>
              <w:rPr>
                <w:rFonts w:ascii="Times New Roman" w:hAnsi="Times New Roman" w:cs="Times New Roman"/>
                <w:u w:val="single"/>
              </w:rPr>
              <w:t>①</w:t>
            </w:r>
            <w:r>
              <w:rPr>
                <w:rFonts w:hint="eastAsia" w:ascii="Times New Roman" w:hAnsi="Times New Roman" w:cs="Times New Roman"/>
                <w:u w:val="single"/>
              </w:rPr>
              <w:t>危险</w:t>
            </w:r>
            <w:r>
              <w:rPr>
                <w:rFonts w:ascii="Times New Roman" w:hAnsi="Times New Roman" w:cs="Times New Roman"/>
                <w:u w:val="single"/>
              </w:rPr>
              <w:t>废物暂存间，应当定期消毒和清洁。方便医疗废物的装卸、装卸人员及运送车辆的出入，应有严密的封闭措施，设专人管理，并落实防鼠、防蚊蝇、防蟑螂、防盗以及预防儿童接触等安全措施。</w:t>
            </w:r>
          </w:p>
          <w:p>
            <w:pPr>
              <w:ind w:firstLine="480" w:firstLineChars="200"/>
              <w:rPr>
                <w:rFonts w:ascii="Times New Roman" w:hAnsi="Times New Roman" w:cs="Times New Roman"/>
                <w:u w:val="single"/>
              </w:rPr>
            </w:pPr>
            <w:r>
              <w:rPr>
                <w:rFonts w:ascii="Times New Roman" w:hAnsi="Times New Roman" w:cs="Times New Roman"/>
                <w:u w:val="single"/>
              </w:rPr>
              <w:t>②地面和1.0米高的墙裙须进行防渗处理，地面有良好的排水性能，易于清洁和消毒，产生的废水应采用管道直接排入污水系统，禁止将产生的废水直接排入外环境。</w:t>
            </w:r>
          </w:p>
          <w:p>
            <w:pPr>
              <w:ind w:firstLine="480" w:firstLineChars="200"/>
              <w:rPr>
                <w:rFonts w:ascii="Times New Roman" w:hAnsi="Times New Roman" w:cs="Times New Roman"/>
                <w:u w:val="single"/>
              </w:rPr>
            </w:pPr>
            <w:r>
              <w:rPr>
                <w:rFonts w:ascii="Times New Roman" w:hAnsi="Times New Roman" w:cs="Times New Roman"/>
                <w:u w:val="single"/>
              </w:rPr>
              <w:t>③暂存室外宜设有供水龙头，以供暂时贮存室的清洗用，在暂存室外的明显处同时设置危险废物</w:t>
            </w:r>
            <w:r>
              <w:rPr>
                <w:rFonts w:hint="eastAsia" w:ascii="Times New Roman" w:hAnsi="Times New Roman" w:cs="Times New Roman"/>
                <w:u w:val="single"/>
              </w:rPr>
              <w:t>的</w:t>
            </w:r>
            <w:r>
              <w:rPr>
                <w:rFonts w:ascii="Times New Roman" w:hAnsi="Times New Roman" w:cs="Times New Roman"/>
                <w:u w:val="single"/>
              </w:rPr>
              <w:t>警示标识。</w:t>
            </w:r>
          </w:p>
          <w:p>
            <w:pPr>
              <w:ind w:firstLine="480" w:firstLineChars="200"/>
              <w:rPr>
                <w:rFonts w:ascii="Times New Roman" w:hAnsi="Times New Roman" w:cs="Times New Roman"/>
                <w:u w:val="single"/>
              </w:rPr>
            </w:pPr>
            <w:r>
              <w:rPr>
                <w:rFonts w:ascii="Times New Roman" w:hAnsi="Times New Roman" w:cs="Times New Roman"/>
                <w:u w:val="single"/>
              </w:rPr>
              <w:t>④避免阳光直射库内，应有良好的照明设备和通风条件。</w:t>
            </w:r>
          </w:p>
          <w:p>
            <w:pPr>
              <w:ind w:firstLine="480" w:firstLineChars="200"/>
              <w:rPr>
                <w:rFonts w:ascii="Times New Roman" w:hAnsi="Times New Roman" w:cs="Times New Roman"/>
                <w:u w:val="single"/>
              </w:rPr>
            </w:pPr>
            <w:r>
              <w:rPr>
                <w:rFonts w:ascii="Times New Roman" w:hAnsi="Times New Roman" w:cs="Times New Roman"/>
                <w:u w:val="single"/>
              </w:rPr>
              <w:t xml:space="preserve">C、场内转移 </w:t>
            </w:r>
          </w:p>
          <w:p>
            <w:pPr>
              <w:ind w:firstLine="480" w:firstLineChars="200"/>
              <w:rPr>
                <w:rFonts w:ascii="Times New Roman" w:hAnsi="Times New Roman" w:cs="Times New Roman"/>
                <w:u w:val="single"/>
              </w:rPr>
            </w:pPr>
            <w:r>
              <w:rPr>
                <w:rFonts w:ascii="Times New Roman" w:hAnsi="Times New Roman" w:cs="Times New Roman"/>
                <w:u w:val="single"/>
              </w:rPr>
              <w:t>①</w:t>
            </w:r>
            <w:r>
              <w:rPr>
                <w:rFonts w:hint="eastAsia" w:ascii="Times New Roman" w:hAnsi="Times New Roman" w:cs="Times New Roman"/>
                <w:u w:val="single"/>
              </w:rPr>
              <w:t>危险废物</w:t>
            </w:r>
            <w:r>
              <w:rPr>
                <w:rFonts w:ascii="Times New Roman" w:hAnsi="Times New Roman" w:cs="Times New Roman"/>
                <w:u w:val="single"/>
              </w:rPr>
              <w:t>应当使用防渗漏、防遗撒的专用运送工具，按照确定的</w:t>
            </w:r>
            <w:r>
              <w:rPr>
                <w:rFonts w:hint="eastAsia" w:ascii="Times New Roman" w:hAnsi="Times New Roman" w:cs="Times New Roman"/>
                <w:u w:val="single"/>
              </w:rPr>
              <w:t>危险</w:t>
            </w:r>
            <w:r>
              <w:rPr>
                <w:rFonts w:ascii="Times New Roman" w:hAnsi="Times New Roman" w:cs="Times New Roman"/>
                <w:u w:val="single"/>
              </w:rPr>
              <w:t>废物运送时间、路线，将医疗废物、实验室废物、污水处理站污泥收集、运送至暂时贮存地点。</w:t>
            </w:r>
          </w:p>
          <w:p>
            <w:pPr>
              <w:ind w:firstLine="480" w:firstLineChars="200"/>
              <w:rPr>
                <w:rFonts w:ascii="Times New Roman" w:hAnsi="Times New Roman" w:cs="Times New Roman"/>
                <w:u w:val="single"/>
              </w:rPr>
            </w:pPr>
            <w:r>
              <w:rPr>
                <w:rFonts w:ascii="Times New Roman" w:hAnsi="Times New Roman" w:cs="Times New Roman"/>
                <w:u w:val="single"/>
              </w:rPr>
              <w:t>②运送工具使用后应当在指定的地点及时消毒和清洁。</w:t>
            </w:r>
          </w:p>
          <w:p>
            <w:pPr>
              <w:ind w:firstLine="480" w:firstLineChars="200"/>
              <w:rPr>
                <w:rFonts w:ascii="Times New Roman" w:hAnsi="Times New Roman" w:cs="Times New Roman"/>
                <w:u w:val="single"/>
              </w:rPr>
            </w:pPr>
            <w:r>
              <w:rPr>
                <w:rFonts w:ascii="Times New Roman" w:hAnsi="Times New Roman" w:cs="Times New Roman"/>
                <w:u w:val="single"/>
              </w:rPr>
              <w:t>③禁止在运送过程中丢弃医疗废物、实验室废物、污水处理站污泥；禁止在非贮存地点倾倒、堆放</w:t>
            </w:r>
            <w:r>
              <w:rPr>
                <w:rFonts w:hint="eastAsia" w:ascii="Times New Roman" w:hAnsi="Times New Roman" w:cs="Times New Roman"/>
                <w:u w:val="single"/>
              </w:rPr>
              <w:t>危险</w:t>
            </w:r>
            <w:r>
              <w:rPr>
                <w:rFonts w:ascii="Times New Roman" w:hAnsi="Times New Roman" w:cs="Times New Roman"/>
                <w:u w:val="single"/>
              </w:rPr>
              <w:t>废物或者将</w:t>
            </w:r>
            <w:r>
              <w:rPr>
                <w:rFonts w:hint="eastAsia" w:ascii="Times New Roman" w:hAnsi="Times New Roman" w:cs="Times New Roman"/>
                <w:u w:val="single"/>
              </w:rPr>
              <w:t>危险</w:t>
            </w:r>
            <w:r>
              <w:rPr>
                <w:rFonts w:ascii="Times New Roman" w:hAnsi="Times New Roman" w:cs="Times New Roman"/>
                <w:u w:val="single"/>
              </w:rPr>
              <w:t>废物混入其他废物和生活垃圾。</w:t>
            </w:r>
          </w:p>
          <w:p>
            <w:pPr>
              <w:ind w:firstLine="480" w:firstLineChars="200"/>
              <w:rPr>
                <w:rFonts w:ascii="Times New Roman" w:hAnsi="Times New Roman" w:cs="Times New Roman"/>
                <w:u w:val="single"/>
              </w:rPr>
            </w:pPr>
            <w:r>
              <w:rPr>
                <w:rFonts w:ascii="Times New Roman" w:hAnsi="Times New Roman" w:cs="Times New Roman"/>
                <w:u w:val="single"/>
              </w:rPr>
              <w:t>项目在医疗废物收集、贮存及场内转移过程中，应严格按照《医疗废物管理条例》（国务院令第380号）、《医疗废物集中处置技术规范（试行）》（环发[2003]206号）、《医疗卫生机构医疗废物管理办法》（卫生部令第6号）及《关于发布&lt;医疗废物专用包装物、容器标准和警示标识规定&gt;的通知》（环发[2003]188号）的有关规定进行，从而防止事故发生</w:t>
            </w:r>
            <w:r>
              <w:rPr>
                <w:rFonts w:hint="eastAsia" w:ascii="Times New Roman" w:hAnsi="Times New Roman" w:cs="Times New Roman"/>
                <w:u w:val="single"/>
              </w:rPr>
              <w:t>；其他相应的危险废物如实验室废物、污水处理站污泥等应按照</w:t>
            </w:r>
          </w:p>
          <w:p>
            <w:pPr>
              <w:rPr>
                <w:rFonts w:ascii="Times New Roman" w:hAnsi="Times New Roman" w:cs="Times New Roman"/>
                <w:u w:val="single"/>
              </w:rPr>
            </w:pPr>
            <w:r>
              <w:rPr>
                <w:rFonts w:hint="eastAsia" w:ascii="Times New Roman" w:hAnsi="Times New Roman" w:cs="Times New Roman"/>
                <w:u w:val="single"/>
              </w:rPr>
              <w:t>《危险废物贮存污染控制标准》（</w:t>
            </w:r>
            <w:r>
              <w:rPr>
                <w:rFonts w:ascii="Times New Roman" w:hAnsi="Times New Roman" w:cs="Times New Roman"/>
                <w:u w:val="single"/>
              </w:rPr>
              <w:t>GB18597-2001</w:t>
            </w:r>
            <w:r>
              <w:rPr>
                <w:rFonts w:hint="eastAsia" w:ascii="Times New Roman" w:hAnsi="Times New Roman" w:cs="Times New Roman"/>
                <w:u w:val="single"/>
              </w:rPr>
              <w:t>）及其修改单要求设置危废标识，做好</w:t>
            </w:r>
            <w:r>
              <w:rPr>
                <w:rFonts w:ascii="Times New Roman" w:hAnsi="Times New Roman" w:cs="Times New Roman"/>
                <w:u w:val="single"/>
              </w:rPr>
              <w:t>“</w:t>
            </w:r>
            <w:r>
              <w:rPr>
                <w:rFonts w:hint="eastAsia" w:ascii="Times New Roman" w:hAnsi="Times New Roman" w:cs="Times New Roman"/>
                <w:u w:val="single"/>
              </w:rPr>
              <w:t>防渗、防淋、防晒</w:t>
            </w:r>
            <w:r>
              <w:rPr>
                <w:rFonts w:ascii="Times New Roman" w:hAnsi="Times New Roman" w:cs="Times New Roman"/>
                <w:u w:val="single"/>
              </w:rPr>
              <w:t>”</w:t>
            </w:r>
            <w:r>
              <w:rPr>
                <w:rFonts w:hint="eastAsia" w:ascii="Times New Roman" w:hAnsi="Times New Roman" w:cs="Times New Roman"/>
                <w:u w:val="single"/>
              </w:rPr>
              <w:t>和其它相应处理，防止产生二次污染。</w:t>
            </w:r>
          </w:p>
          <w:p>
            <w:pPr>
              <w:pStyle w:val="6"/>
              <w:ind w:firstLine="482"/>
              <w:outlineLvl w:val="2"/>
              <w:rPr>
                <w:u w:val="single"/>
              </w:rPr>
            </w:pPr>
            <w:bookmarkStart w:id="83" w:name="_Toc34059550"/>
            <w:r>
              <w:rPr>
                <w:rFonts w:hint="eastAsia"/>
                <w:u w:val="single"/>
              </w:rPr>
              <w:t>2.6外环境对本项目的影响</w:t>
            </w:r>
            <w:bookmarkEnd w:id="83"/>
          </w:p>
          <w:p>
            <w:pPr>
              <w:ind w:firstLine="480" w:firstLineChars="200"/>
              <w:rPr>
                <w:rFonts w:ascii="Times New Roman" w:hAnsi="Times New Roman" w:cs="Times New Roman"/>
                <w:u w:val="single"/>
              </w:rPr>
            </w:pPr>
            <w:r>
              <w:rPr>
                <w:rFonts w:hint="eastAsia" w:ascii="Times New Roman" w:hAnsi="Times New Roman" w:cs="Times New Roman"/>
                <w:u w:val="single"/>
              </w:rPr>
              <w:t xml:space="preserve">项目外环境对本项目影响主要为交通运输噪声对本项目的影响。 </w:t>
            </w:r>
          </w:p>
          <w:p>
            <w:pPr>
              <w:ind w:firstLine="480" w:firstLineChars="200"/>
              <w:rPr>
                <w:rFonts w:ascii="Times New Roman" w:hAnsi="Times New Roman" w:cs="Times New Roman"/>
                <w:u w:val="single"/>
              </w:rPr>
            </w:pPr>
            <w:r>
              <w:rPr>
                <w:rFonts w:hint="eastAsia" w:ascii="Times New Roman" w:hAnsi="Times New Roman" w:cs="Times New Roman"/>
                <w:u w:val="single"/>
              </w:rPr>
              <w:t>根据现场调查，项目北侧、西侧、南侧分别为吉祥公司（现为空置厂房）、恒大养生谷以及规划的新华路，东侧为长岭头路，道路交通运输噪声将对学校运营产生一定的影响。根据建设单位提供的设计资料，本项目教学楼距离东侧长岭头路最近距离约</w:t>
            </w:r>
            <w:r>
              <w:rPr>
                <w:rFonts w:ascii="Times New Roman" w:hAnsi="Times New Roman" w:cs="Times New Roman"/>
                <w:u w:val="single"/>
              </w:rPr>
              <w:t>5m</w:t>
            </w:r>
            <w:r>
              <w:rPr>
                <w:rFonts w:hint="eastAsia" w:ascii="Times New Roman" w:hAnsi="Times New Roman" w:cs="Times New Roman"/>
                <w:u w:val="single"/>
              </w:rPr>
              <w:t>，距离南侧规划新华路最近距离约5</w:t>
            </w:r>
            <w:r>
              <w:rPr>
                <w:rFonts w:ascii="Times New Roman" w:hAnsi="Times New Roman" w:cs="Times New Roman"/>
                <w:u w:val="single"/>
              </w:rPr>
              <w:t>m</w:t>
            </w:r>
            <w:r>
              <w:rPr>
                <w:rFonts w:hint="eastAsia" w:ascii="Times New Roman" w:hAnsi="Times New Roman" w:cs="Times New Roman"/>
                <w:u w:val="single"/>
              </w:rPr>
              <w:t>。道路均为城市支路，车速较缓，为了减小交通噪声对教学楼的影响，建议临路一侧的教学楼、宿舍采用隔声玻璃窗，同时加强临道路侧绿化，种植高大乔木，且建设单位应与交通管理部门沟通在学校大门侧设立明显标志，提醒过往车辆减速，同时确保学校师生出行交通安全。</w:t>
            </w:r>
          </w:p>
          <w:p>
            <w:pPr>
              <w:ind w:firstLine="480" w:firstLineChars="200"/>
              <w:rPr>
                <w:rFonts w:ascii="Times New Roman" w:hAnsi="Times New Roman" w:cs="Times New Roman"/>
                <w:u w:val="single"/>
              </w:rPr>
            </w:pPr>
            <w:r>
              <w:rPr>
                <w:rFonts w:hint="eastAsia" w:ascii="Times New Roman" w:hAnsi="Times New Roman" w:cs="Times New Roman"/>
                <w:u w:val="single"/>
              </w:rPr>
              <w:t>湖南乾诚检测有限公司于20</w:t>
            </w:r>
            <w:r>
              <w:rPr>
                <w:rFonts w:ascii="Times New Roman" w:hAnsi="Times New Roman" w:cs="Times New Roman"/>
                <w:u w:val="single"/>
              </w:rPr>
              <w:t>20</w:t>
            </w:r>
            <w:r>
              <w:rPr>
                <w:rFonts w:hint="eastAsia" w:ascii="Times New Roman" w:hAnsi="Times New Roman" w:cs="Times New Roman"/>
                <w:u w:val="single"/>
              </w:rPr>
              <w:t>年</w:t>
            </w:r>
            <w:r>
              <w:rPr>
                <w:rFonts w:ascii="Times New Roman" w:hAnsi="Times New Roman" w:cs="Times New Roman"/>
                <w:u w:val="single"/>
              </w:rPr>
              <w:t>1</w:t>
            </w:r>
            <w:r>
              <w:rPr>
                <w:rFonts w:hint="eastAsia" w:ascii="Times New Roman" w:hAnsi="Times New Roman" w:cs="Times New Roman"/>
                <w:u w:val="single"/>
              </w:rPr>
              <w:t>月</w:t>
            </w:r>
            <w:r>
              <w:rPr>
                <w:rFonts w:ascii="Times New Roman" w:hAnsi="Times New Roman" w:cs="Times New Roman"/>
                <w:u w:val="single"/>
              </w:rPr>
              <w:t>6</w:t>
            </w:r>
            <w:r>
              <w:rPr>
                <w:rFonts w:hint="eastAsia" w:ascii="Times New Roman" w:hAnsi="Times New Roman" w:cs="Times New Roman"/>
                <w:u w:val="single"/>
              </w:rPr>
              <w:t>日~</w:t>
            </w:r>
            <w:r>
              <w:rPr>
                <w:rFonts w:ascii="Times New Roman" w:hAnsi="Times New Roman" w:cs="Times New Roman"/>
                <w:u w:val="single"/>
              </w:rPr>
              <w:t>7</w:t>
            </w:r>
            <w:r>
              <w:rPr>
                <w:rFonts w:hint="eastAsia" w:ascii="Times New Roman" w:hAnsi="Times New Roman" w:cs="Times New Roman"/>
                <w:u w:val="single"/>
              </w:rPr>
              <w:t>日对项目地的声环境现状进行了监测：项目厂界东侧、南侧、北侧噪声监测值能满足《声环境质量标准》（GB3096-2008）中2类标准。项目拟建地的声环境总体质量良好，满足建设要求。</w:t>
            </w:r>
          </w:p>
          <w:p>
            <w:pPr>
              <w:ind w:firstLine="480" w:firstLineChars="200"/>
              <w:rPr>
                <w:rFonts w:ascii="Times New Roman" w:hAnsi="Times New Roman" w:cs="Times New Roman"/>
                <w:u w:val="single"/>
              </w:rPr>
            </w:pPr>
            <w:r>
              <w:rPr>
                <w:rFonts w:hint="eastAsia" w:ascii="Times New Roman" w:hAnsi="Times New Roman" w:cs="Times New Roman"/>
                <w:u w:val="single"/>
              </w:rPr>
              <w:t>木里港片区主要以机械加工企业为主，无重大化工企业，产生气型污染物较小，对本项目的影响有限。环评建议：项目南侧（现为荒地）、和东侧（现空置厂房）应为污染小的企业，严禁涉化工类气型污染企业。</w:t>
            </w:r>
          </w:p>
          <w:p>
            <w:pPr>
              <w:pStyle w:val="6"/>
              <w:ind w:firstLine="482"/>
              <w:outlineLvl w:val="2"/>
            </w:pPr>
            <w:bookmarkStart w:id="84" w:name="_Toc34059551"/>
            <w:r>
              <w:rPr>
                <w:rFonts w:hint="eastAsia"/>
              </w:rPr>
              <w:t>2.7学校周边用地控制性建议</w:t>
            </w:r>
            <w:bookmarkEnd w:id="84"/>
          </w:p>
          <w:p>
            <w:pPr>
              <w:ind w:firstLine="480" w:firstLineChars="200"/>
              <w:rPr>
                <w:rFonts w:ascii="Times New Roman" w:hAnsi="Times New Roman" w:cs="Times New Roman"/>
              </w:rPr>
            </w:pPr>
            <w:r>
              <w:rPr>
                <w:rFonts w:hint="eastAsia" w:ascii="Times New Roman" w:hAnsi="Times New Roman" w:cs="Times New Roman"/>
              </w:rPr>
              <w:t>为防止后续城市规划建设项目对本项目造成影响，学校区域</w:t>
            </w:r>
            <w:r>
              <w:rPr>
                <w:rFonts w:ascii="Times New Roman" w:hAnsi="Times New Roman" w:cs="Times New Roman"/>
              </w:rPr>
              <w:t>200</w:t>
            </w:r>
            <w:r>
              <w:rPr>
                <w:rFonts w:hint="eastAsia" w:ascii="Times New Roman" w:hAnsi="Times New Roman" w:cs="Times New Roman"/>
              </w:rPr>
              <w:t>米范围内须严格控制噪声、大气污染、辐射等企业或设施（如污水处理厂、大型变电站、</w:t>
            </w:r>
            <w:r>
              <w:rPr>
                <w:rFonts w:ascii="Times New Roman" w:hAnsi="Times New Roman" w:cs="Times New Roman"/>
              </w:rPr>
              <w:t>KTV</w:t>
            </w:r>
            <w:r>
              <w:rPr>
                <w:rFonts w:hint="eastAsia" w:ascii="Times New Roman" w:hAnsi="Times New Roman" w:cs="Times New Roman"/>
              </w:rPr>
              <w:t>等）的建设，学校区域</w:t>
            </w:r>
            <w:r>
              <w:rPr>
                <w:rFonts w:ascii="Times New Roman" w:hAnsi="Times New Roman" w:cs="Times New Roman"/>
              </w:rPr>
              <w:t>200</w:t>
            </w:r>
            <w:r>
              <w:rPr>
                <w:rFonts w:hint="eastAsia" w:ascii="Times New Roman" w:hAnsi="Times New Roman" w:cs="Times New Roman"/>
              </w:rPr>
              <w:t>米范围外的周边也须慎重考虑建设以上设施以减少外环境对本项目的影响。</w:t>
            </w:r>
          </w:p>
          <w:p>
            <w:pPr>
              <w:pStyle w:val="6"/>
              <w:ind w:firstLine="482"/>
              <w:outlineLvl w:val="2"/>
              <w:rPr>
                <w:rFonts w:cs="Times New Roman"/>
                <w:bCs/>
                <w:spacing w:val="6"/>
                <w:szCs w:val="24"/>
              </w:rPr>
            </w:pPr>
            <w:bookmarkStart w:id="85" w:name="_Toc34059552"/>
            <w:r>
              <w:rPr>
                <w:rFonts w:hint="eastAsia"/>
              </w:rPr>
              <w:t>2.8</w:t>
            </w:r>
            <w:r>
              <w:rPr>
                <w:rFonts w:cs="Times New Roman"/>
                <w:bCs/>
                <w:spacing w:val="6"/>
                <w:szCs w:val="24"/>
              </w:rPr>
              <w:t>产业政策及规划符合性分析</w:t>
            </w:r>
            <w:bookmarkEnd w:id="85"/>
          </w:p>
          <w:p>
            <w:pPr>
              <w:ind w:firstLine="480" w:firstLineChars="200"/>
              <w:rPr>
                <w:rFonts w:ascii="Times New Roman" w:hAnsi="Times New Roman" w:cs="Times New Roman"/>
              </w:rPr>
            </w:pPr>
            <w:r>
              <w:rPr>
                <w:rFonts w:ascii="Times New Roman" w:hAnsi="Times New Roman" w:cs="Times New Roman"/>
              </w:rPr>
              <w:t>（1）产业政策符合性分析</w:t>
            </w:r>
          </w:p>
          <w:p>
            <w:pPr>
              <w:ind w:firstLine="480" w:firstLineChars="200"/>
              <w:rPr>
                <w:rFonts w:ascii="Times New Roman" w:hAnsi="Times New Roman" w:cs="Times New Roman"/>
              </w:rPr>
            </w:pPr>
            <w:r>
              <w:rPr>
                <w:rFonts w:ascii="Times New Roman" w:hAnsi="Times New Roman" w:cs="Times New Roman"/>
              </w:rPr>
              <w:t>本项目为教育业，检索《产业结构调整指导目录（2019年本）》，本项目属于“鼓励类”中第三十六项“教育、文化、卫生、体育服务业”。因此，项目的建设符合国家产业政策。</w:t>
            </w:r>
          </w:p>
          <w:p>
            <w:pPr>
              <w:pStyle w:val="38"/>
              <w:numPr>
                <w:ilvl w:val="0"/>
                <w:numId w:val="11"/>
              </w:numPr>
              <w:ind w:firstLineChars="0"/>
              <w:rPr>
                <w:rFonts w:ascii="Times New Roman" w:hAnsi="Times New Roman" w:cs="Times New Roman"/>
              </w:rPr>
            </w:pPr>
            <w:r>
              <w:rPr>
                <w:rFonts w:hint="eastAsia" w:ascii="Times New Roman" w:hAnsi="Times New Roman" w:cs="Times New Roman"/>
              </w:rPr>
              <w:t>与木里港片区规划</w:t>
            </w:r>
            <w:r>
              <w:rPr>
                <w:rFonts w:ascii="Times New Roman" w:hAnsi="Times New Roman" w:cs="Times New Roman"/>
              </w:rPr>
              <w:t>符合性分析</w:t>
            </w:r>
          </w:p>
          <w:p>
            <w:pPr>
              <w:ind w:firstLine="480" w:firstLineChars="200"/>
              <w:rPr>
                <w:rFonts w:ascii="Times New Roman" w:hAnsi="Times New Roman" w:cs="Times New Roman"/>
                <w:u w:val="single"/>
              </w:rPr>
            </w:pPr>
            <w:r>
              <w:rPr>
                <w:rFonts w:hint="eastAsia" w:ascii="Times New Roman" w:hAnsi="Times New Roman" w:cs="Times New Roman"/>
                <w:u w:val="single"/>
              </w:rPr>
              <w:t>康王——木里港片区环评正在进行中。</w:t>
            </w:r>
          </w:p>
          <w:p>
            <w:pPr>
              <w:ind w:firstLine="480" w:firstLineChars="200"/>
              <w:rPr>
                <w:rFonts w:ascii="Times New Roman" w:hAnsi="Times New Roman" w:cs="Times New Roman"/>
              </w:rPr>
            </w:pPr>
            <w:r>
              <w:rPr>
                <w:rFonts w:hint="eastAsia" w:ascii="Times New Roman" w:hAnsi="Times New Roman" w:cs="Times New Roman"/>
                <w:u w:val="single"/>
              </w:rPr>
              <w:t>根据木里港片区控制性详细规划图（见附图</w:t>
            </w:r>
            <w:r>
              <w:rPr>
                <w:rFonts w:ascii="Times New Roman" w:hAnsi="Times New Roman" w:cs="Times New Roman"/>
                <w:u w:val="single"/>
              </w:rPr>
              <w:t>5</w:t>
            </w:r>
            <w:r>
              <w:rPr>
                <w:rFonts w:hint="eastAsia" w:ascii="Times New Roman" w:hAnsi="Times New Roman" w:cs="Times New Roman"/>
                <w:u w:val="single"/>
              </w:rPr>
              <w:t>），项目所在地用地性质为中小学用地，本项目属于教育项目，符合木里港片区总体规划要求，通过实施本项目，以教育为主要功能得到良好体现，地块周边规划道路相继建成后，项目所在地交通便利、生活便捷；区域环境质量良好，是理想的教育区域。因此本项目选址可行。</w:t>
            </w:r>
          </w:p>
          <w:p>
            <w:pPr>
              <w:ind w:firstLine="480" w:firstLineChars="200"/>
              <w:rPr>
                <w:rFonts w:ascii="Times New Roman" w:hAnsi="Times New Roman" w:cs="Times New Roman"/>
              </w:rPr>
            </w:pPr>
            <w:r>
              <w:rPr>
                <w:rFonts w:ascii="Times New Roman" w:hAnsi="Times New Roman" w:cs="Times New Roman"/>
              </w:rPr>
              <w:t>（3）《洞庭湖生态经济区规划》符合性分析</w:t>
            </w:r>
          </w:p>
          <w:p>
            <w:pPr>
              <w:ind w:firstLine="480" w:firstLineChars="200"/>
              <w:rPr>
                <w:rFonts w:ascii="Times New Roman" w:hAnsi="Times New Roman" w:cs="Times New Roman"/>
              </w:rPr>
            </w:pPr>
            <w:r>
              <w:rPr>
                <w:rFonts w:ascii="Times New Roman" w:hAnsi="Times New Roman" w:cs="Times New Roman"/>
              </w:rPr>
              <w:t>2014年5月2日国家发展改革委员会引发了《洞庭湖生态经济区规划》，规划中第六章（民生事业改善）的第三节（加快社会事业发展）要求，优先发展教育：公共教育资源向农村和贫困地区倾斜，加强农村教师队伍建设；加快发展现代职业教育和职业培训，建设适应工学结合要求、具有湖区特色的职业教育公共实训基地，完善投入机制，着力改善职业院校基本办学条件；加快建设一批中等职业学校，提升高等院校办学质量和水平。</w:t>
            </w:r>
          </w:p>
          <w:p>
            <w:pPr>
              <w:ind w:firstLine="480" w:firstLineChars="200"/>
              <w:rPr>
                <w:rFonts w:ascii="Times New Roman" w:hAnsi="Times New Roman" w:cs="Times New Roman"/>
              </w:rPr>
            </w:pPr>
            <w:r>
              <w:rPr>
                <w:rFonts w:ascii="Times New Roman" w:hAnsi="Times New Roman" w:cs="Times New Roman"/>
              </w:rPr>
              <w:t>本项目建设</w:t>
            </w:r>
            <w:r>
              <w:rPr>
                <w:rFonts w:hint="eastAsia" w:ascii="Times New Roman" w:hAnsi="Times New Roman" w:cs="Times New Roman"/>
              </w:rPr>
              <w:t>运行</w:t>
            </w:r>
            <w:r>
              <w:rPr>
                <w:rFonts w:ascii="Times New Roman" w:hAnsi="Times New Roman" w:cs="Times New Roman"/>
              </w:rPr>
              <w:t>最大</w:t>
            </w:r>
            <w:r>
              <w:rPr>
                <w:rFonts w:hint="eastAsia" w:ascii="Times New Roman" w:hAnsi="Times New Roman" w:cs="Times New Roman"/>
              </w:rPr>
              <w:t>规模为54</w:t>
            </w:r>
            <w:r>
              <w:rPr>
                <w:rFonts w:ascii="Times New Roman" w:hAnsi="Times New Roman" w:cs="Times New Roman"/>
              </w:rPr>
              <w:t>个教学班级，其中小学36个教学班级，初中</w:t>
            </w:r>
            <w:r>
              <w:rPr>
                <w:rFonts w:hint="eastAsia" w:ascii="Times New Roman" w:hAnsi="Times New Roman" w:cs="Times New Roman"/>
              </w:rPr>
              <w:t>18</w:t>
            </w:r>
            <w:r>
              <w:rPr>
                <w:rFonts w:ascii="Times New Roman" w:hAnsi="Times New Roman" w:cs="Times New Roman"/>
              </w:rPr>
              <w:t>个教学班级，最大可容纳学生</w:t>
            </w:r>
            <w:r>
              <w:rPr>
                <w:rFonts w:hint="eastAsia" w:ascii="Times New Roman" w:hAnsi="Times New Roman" w:cs="Times New Roman"/>
              </w:rPr>
              <w:t>2520</w:t>
            </w:r>
            <w:r>
              <w:rPr>
                <w:rFonts w:ascii="Times New Roman" w:hAnsi="Times New Roman" w:cs="Times New Roman"/>
              </w:rPr>
              <w:t>人。该项目是合理配置教学资源，完善扩大岳阳教学规模的重要举措，不仅有利于完善办学规模和教育设施，更有利于促进当地经济建设和社会发展，符合《洞庭湖生态经济区规划》。</w:t>
            </w:r>
          </w:p>
          <w:p>
            <w:pPr>
              <w:ind w:firstLine="480" w:firstLineChars="200"/>
              <w:rPr>
                <w:rFonts w:ascii="Times New Roman" w:hAnsi="Times New Roman" w:cs="Times New Roman"/>
              </w:rPr>
            </w:pPr>
            <w:r>
              <w:rPr>
                <w:rFonts w:ascii="Times New Roman" w:hAnsi="Times New Roman" w:cs="Times New Roman"/>
              </w:rPr>
              <w:t>（4）《湖南省建设教育强省“十三五”规划》符合性分析</w:t>
            </w:r>
          </w:p>
          <w:p>
            <w:pPr>
              <w:ind w:firstLine="480" w:firstLineChars="200"/>
              <w:rPr>
                <w:rFonts w:ascii="Times New Roman" w:hAnsi="Times New Roman" w:cs="Times New Roman"/>
              </w:rPr>
            </w:pPr>
            <w:r>
              <w:rPr>
                <w:rFonts w:ascii="Times New Roman" w:hAnsi="Times New Roman" w:cs="Times New Roman"/>
              </w:rPr>
              <w:t>2016年9月5日，湖南省教育厅和湖南省发展和改革委员会印发了湘教发〔2016〕45号文件《湖南省建设教育强省“十三五”规划》，指出教育发展总体目标为：到2020年，全省教育发展水平和综合实力进入全国先进行列，基本建成教育强省，基本实现教育现代化，基本建成人力资源强省。重点目标包括：</w:t>
            </w:r>
          </w:p>
          <w:p>
            <w:pPr>
              <w:ind w:firstLine="480" w:firstLineChars="200"/>
              <w:rPr>
                <w:rFonts w:ascii="Times New Roman" w:hAnsi="Times New Roman" w:cs="Times New Roman"/>
              </w:rPr>
            </w:pPr>
            <w:r>
              <w:rPr>
                <w:rFonts w:ascii="Times New Roman" w:hAnsi="Times New Roman" w:cs="Times New Roman"/>
              </w:rPr>
              <w:t>①加强义务教育学校建设：在全面完成完全小学以上合格学校建设的基础上，实施标准化学校建设，基本实现办学条件现代化。将非完全小学和教学点建设比照完全小学以上合格学校建设纳入省政府重点民生实事项目加以推进，确保2020年全部完成建设任务。组织实施“全面改善贫困地区义务教育薄弱学校基本办学条件”工程，确保到2018年全省所有义务教育薄弱学校在办学条件等方面达到底线要求。</w:t>
            </w:r>
          </w:p>
          <w:p>
            <w:pPr>
              <w:ind w:firstLine="480" w:firstLineChars="200"/>
              <w:rPr>
                <w:rFonts w:ascii="Times New Roman" w:hAnsi="Times New Roman" w:cs="Times New Roman"/>
              </w:rPr>
            </w:pPr>
            <w:r>
              <w:rPr>
                <w:rFonts w:ascii="Times New Roman" w:hAnsi="Times New Roman" w:cs="Times New Roman"/>
              </w:rPr>
              <w:t>②实施普通高中多样化发展计划：进一步巩固与完善示范高中、综合高中和特色高中办学模式。继续办好示范高中，积极推进特色高中和综合高中建设。继续鼓励、支持普通高中分类规划、分类建设、分类发展。分类制定普通高中资源配置、队伍建设、课程建设、教育教学管理与教学质量评价标准，建立完善适应普通高中多样化发展的管理与评价制度，促进普通高中办出自身特色。</w:t>
            </w:r>
          </w:p>
          <w:p>
            <w:pPr>
              <w:ind w:firstLine="480" w:firstLineChars="200"/>
              <w:rPr>
                <w:rFonts w:ascii="Times New Roman" w:hAnsi="Times New Roman" w:cs="Times New Roman"/>
                <w:u w:val="single"/>
              </w:rPr>
            </w:pPr>
            <w:r>
              <w:rPr>
                <w:rFonts w:ascii="Times New Roman" w:hAnsi="Times New Roman" w:cs="Times New Roman"/>
                <w:u w:val="single"/>
              </w:rPr>
              <w:t>（5）《湖南省中小学校幼儿园规划建设条例》相符性分析</w:t>
            </w:r>
          </w:p>
          <w:p>
            <w:pPr>
              <w:ind w:firstLine="480" w:firstLineChars="200"/>
              <w:rPr>
                <w:rFonts w:ascii="Times New Roman" w:hAnsi="Times New Roman" w:cs="Times New Roman"/>
                <w:u w:val="single"/>
              </w:rPr>
            </w:pPr>
            <w:r>
              <w:rPr>
                <w:rFonts w:ascii="Times New Roman" w:hAnsi="Times New Roman" w:cs="Times New Roman"/>
                <w:u w:val="single"/>
              </w:rPr>
              <w:t>根据2016年3月30日湖南省第十二届人民代表大会常务委员会第二十一次会议通过的《湖南省中小学校幼儿园规划建设条例》，在中小学校、幼儿园周边一定范围内进行规划建设活动，应当遵守下列规定：</w:t>
            </w:r>
          </w:p>
          <w:p>
            <w:pPr>
              <w:ind w:firstLine="480" w:firstLineChars="200"/>
              <w:rPr>
                <w:rFonts w:ascii="Times New Roman" w:hAnsi="Times New Roman" w:cs="Times New Roman"/>
                <w:u w:val="single"/>
              </w:rPr>
            </w:pPr>
            <w:r>
              <w:rPr>
                <w:rFonts w:ascii="Times New Roman" w:hAnsi="Times New Roman" w:cs="Times New Roman"/>
                <w:u w:val="single"/>
              </w:rPr>
              <w:t>（一）周边一千米范围内，不得新建殡仪馆、污水处理厂、垃圾填埋场；</w:t>
            </w:r>
          </w:p>
          <w:p>
            <w:pPr>
              <w:ind w:firstLine="480" w:firstLineChars="200"/>
              <w:rPr>
                <w:rFonts w:ascii="Times New Roman" w:hAnsi="Times New Roman" w:cs="Times New Roman"/>
                <w:u w:val="single"/>
              </w:rPr>
            </w:pPr>
            <w:r>
              <w:rPr>
                <w:rFonts w:ascii="Times New Roman" w:hAnsi="Times New Roman" w:cs="Times New Roman"/>
                <w:u w:val="single"/>
              </w:rPr>
              <w:t>（二）周边五百米范围内，不得新建看守所、强制戒毒所、监狱等羁押场所；</w:t>
            </w:r>
          </w:p>
          <w:p>
            <w:pPr>
              <w:ind w:firstLine="480" w:firstLineChars="200"/>
              <w:rPr>
                <w:rFonts w:ascii="Times New Roman" w:hAnsi="Times New Roman" w:cs="Times New Roman"/>
                <w:u w:val="single"/>
              </w:rPr>
            </w:pPr>
            <w:r>
              <w:rPr>
                <w:rFonts w:ascii="Times New Roman" w:hAnsi="Times New Roman" w:cs="Times New Roman"/>
                <w:u w:val="single"/>
              </w:rPr>
              <w:t>（三）周边三百米范围内，不得新建车站、码头、集贸市场等嘈杂场所；</w:t>
            </w:r>
          </w:p>
          <w:p>
            <w:pPr>
              <w:ind w:firstLine="480" w:firstLineChars="200"/>
              <w:rPr>
                <w:rFonts w:ascii="Times New Roman" w:hAnsi="Times New Roman" w:cs="Times New Roman"/>
                <w:u w:val="single"/>
              </w:rPr>
            </w:pPr>
            <w:r>
              <w:rPr>
                <w:rFonts w:ascii="Times New Roman" w:hAnsi="Times New Roman" w:cs="Times New Roman"/>
                <w:u w:val="single"/>
              </w:rPr>
              <w:t>（四）不得进行其他可能影响中小学校、幼儿园教学秩序和安全的规划建设活动。</w:t>
            </w:r>
          </w:p>
          <w:p>
            <w:pPr>
              <w:ind w:firstLine="480" w:firstLineChars="200"/>
              <w:rPr>
                <w:rFonts w:ascii="Times New Roman" w:hAnsi="Times New Roman" w:cs="Times New Roman"/>
                <w:u w:val="single"/>
              </w:rPr>
            </w:pPr>
            <w:r>
              <w:rPr>
                <w:rFonts w:ascii="Times New Roman" w:hAnsi="Times New Roman" w:cs="Times New Roman"/>
                <w:u w:val="single"/>
              </w:rPr>
              <w:t>高压电线、长输天然气管道、输油管道或者市政道路等不得穿越或者跨越中小学校、幼儿园；易燃易爆、剧毒、放射性、腐蚀性等危险物品生产、经营、储存、使用场所或者设施与中小学校、幼儿园的间隔距离应当符合国家和省有关规定。</w:t>
            </w:r>
          </w:p>
          <w:p>
            <w:pPr>
              <w:ind w:firstLine="480" w:firstLineChars="200"/>
              <w:rPr>
                <w:rFonts w:ascii="Times New Roman" w:hAnsi="Times New Roman" w:cs="Times New Roman"/>
                <w:u w:val="single"/>
              </w:rPr>
            </w:pPr>
            <w:r>
              <w:rPr>
                <w:rFonts w:ascii="Times New Roman" w:hAnsi="Times New Roman" w:cs="Times New Roman"/>
                <w:u w:val="single"/>
              </w:rPr>
              <w:t>在中小学校、幼儿园周边二百米范围内，不得设立互联网上网服务营业场所、营业性电子游戏室、桌球室、歌舞厅等影响正常教学秩序和青少年身心健康的经营性场所。</w:t>
            </w:r>
          </w:p>
          <w:p>
            <w:pPr>
              <w:ind w:firstLine="480" w:firstLineChars="200"/>
              <w:rPr>
                <w:rFonts w:ascii="Times New Roman" w:hAnsi="Times New Roman" w:cs="Times New Roman"/>
                <w:u w:val="single"/>
              </w:rPr>
            </w:pPr>
            <w:r>
              <w:rPr>
                <w:rFonts w:ascii="Times New Roman" w:hAnsi="Times New Roman" w:cs="Times New Roman"/>
                <w:u w:val="single"/>
              </w:rPr>
              <w:t>本项目1.0km范围内没有建设和规划建设的殡仪馆、垃圾填埋场、污水处理厂，范围内的已建企业除正在建设的意外，其余企业均以取得环评批复、竣工验收等，根据调查可知，本项目不在该类企业的安全距离之内。企业主要分布在项目西北侧，居民小区分布在项</w:t>
            </w:r>
            <w:r>
              <w:rPr>
                <w:rFonts w:hint="eastAsia" w:ascii="Times New Roman" w:hAnsi="Times New Roman" w:cs="Times New Roman"/>
                <w:u w:val="single"/>
              </w:rPr>
              <w:t>东</w:t>
            </w:r>
            <w:r>
              <w:rPr>
                <w:rFonts w:ascii="Times New Roman" w:hAnsi="Times New Roman" w:cs="Times New Roman"/>
                <w:u w:val="single"/>
              </w:rPr>
              <w:t>侧，</w:t>
            </w:r>
            <w:r>
              <w:rPr>
                <w:rFonts w:hint="eastAsia" w:ascii="Times New Roman" w:hAnsi="Times New Roman" w:cs="Times New Roman"/>
                <w:u w:val="single"/>
              </w:rPr>
              <w:t>东侧</w:t>
            </w:r>
            <w:r>
              <w:rPr>
                <w:rFonts w:ascii="Times New Roman" w:hAnsi="Times New Roman" w:cs="Times New Roman"/>
                <w:u w:val="single"/>
              </w:rPr>
              <w:t>主要为零散居民；500m范围内没有规划建设的看守所、强制戒毒所、监狱等羁押场所，也无其他企业，零散居民主要分布在南侧；300m范围内没有规划建设的车站、码头、集贸市场等嘈杂场所，零散居民主要分布在</w:t>
            </w:r>
            <w:r>
              <w:rPr>
                <w:rFonts w:hint="eastAsia" w:ascii="Times New Roman" w:hAnsi="Times New Roman" w:cs="Times New Roman"/>
                <w:u w:val="single"/>
              </w:rPr>
              <w:t>东侧</w:t>
            </w:r>
            <w:r>
              <w:rPr>
                <w:rFonts w:ascii="Times New Roman" w:hAnsi="Times New Roman" w:cs="Times New Roman"/>
                <w:u w:val="single"/>
              </w:rPr>
              <w:t>；项目周边主要为已建成道路，没有其他可能影响本项目教学秩序和安全的规划建设活动；学校位于周边无高压电线、长输天然气管道、输油管道或者市政道路等的穿越或者跨越；易燃易爆、剧毒、放射性、腐蚀性等危险物品生产、经营、储存、使用场所或者设施与中小学校、幼儿园的间隔距离应当符合国家和省有关规定。</w:t>
            </w:r>
          </w:p>
          <w:p>
            <w:pPr>
              <w:ind w:firstLine="480" w:firstLineChars="200"/>
              <w:rPr>
                <w:rFonts w:ascii="Times New Roman" w:hAnsi="Times New Roman" w:cs="Times New Roman"/>
              </w:rPr>
            </w:pPr>
            <w:r>
              <w:rPr>
                <w:rFonts w:ascii="Times New Roman" w:hAnsi="Times New Roman" w:cs="Times New Roman"/>
              </w:rPr>
              <w:t>本项目的建设符合《湖南省中小学校幼儿园规划建设条例》中相应的规划选址要求。</w:t>
            </w:r>
          </w:p>
          <w:p>
            <w:pPr>
              <w:ind w:firstLine="480" w:firstLineChars="200"/>
              <w:rPr>
                <w:rFonts w:ascii="Times New Roman" w:hAnsi="Times New Roman" w:cs="Times New Roman"/>
              </w:rPr>
            </w:pPr>
            <w:r>
              <w:rPr>
                <w:rFonts w:ascii="Times New Roman" w:hAnsi="Times New Roman" w:cs="Times New Roman"/>
              </w:rPr>
              <w:t>（6）《岳阳市国民经济和社会发展第十三五年规划》符合性分析</w:t>
            </w:r>
          </w:p>
          <w:p>
            <w:pPr>
              <w:ind w:firstLine="480" w:firstLineChars="200"/>
              <w:rPr>
                <w:rFonts w:ascii="Times New Roman" w:hAnsi="Times New Roman" w:cs="Times New Roman"/>
              </w:rPr>
            </w:pPr>
            <w:r>
              <w:rPr>
                <w:rFonts w:ascii="Times New Roman" w:hAnsi="Times New Roman" w:cs="Times New Roman"/>
              </w:rPr>
              <w:t>根据岳阳市“十三五”发展规划中第八章，第二节可知，在第十三个五年规划中，岳阳市将大力发展教育、医疗卫生、文化等社会事业，努力提高公共服务均等化水平，推动经济社会协调发展。在“专栏14：教育发展重点工程”中已明确需新增小学、初中、高中教育学校共计约33所，到2020年义务教育阶段合格学校建设达标率到100%，标准化学校建设达标率达到60%以上。因此，本项目的建设符合《岳阳市国民经济和社会发展第十三五年规划》。</w:t>
            </w:r>
          </w:p>
          <w:p>
            <w:pPr>
              <w:ind w:firstLine="480" w:firstLineChars="200"/>
              <w:rPr>
                <w:rFonts w:ascii="Times New Roman" w:hAnsi="Times New Roman" w:cs="Times New Roman"/>
              </w:rPr>
            </w:pPr>
            <w:r>
              <w:rPr>
                <w:rFonts w:ascii="Times New Roman" w:hAnsi="Times New Roman" w:cs="Times New Roman"/>
              </w:rPr>
              <w:t>（7）岳阳市教育发展规划符合性分析</w:t>
            </w:r>
          </w:p>
          <w:p>
            <w:pPr>
              <w:ind w:firstLine="480" w:firstLineChars="200"/>
              <w:rPr>
                <w:rFonts w:ascii="Times New Roman" w:hAnsi="Times New Roman" w:cs="Times New Roman"/>
              </w:rPr>
            </w:pPr>
            <w:r>
              <w:rPr>
                <w:rFonts w:ascii="Times New Roman" w:hAnsi="Times New Roman" w:cs="Times New Roman"/>
              </w:rPr>
              <w:t>在《2017年岳阳市政府工作报告》中提出坚持教育优先，落实乡村教师支持计划，加快农村薄弱学校建设，继续推进中心城区学校“六建六扩”，促进民办教育健康发展，推动高等教育、职业教育开展产教融合，发展更高质量、更加公平的教育。本项目为投资建设民办学校，符合岳阳市教育发展规划要求。</w:t>
            </w:r>
          </w:p>
          <w:p>
            <w:pPr>
              <w:pStyle w:val="6"/>
              <w:ind w:firstLine="482"/>
              <w:outlineLvl w:val="2"/>
            </w:pPr>
            <w:bookmarkStart w:id="86" w:name="_Toc34059553"/>
            <w:r>
              <w:rPr>
                <w:rFonts w:hint="eastAsia"/>
              </w:rPr>
              <w:t>2.9</w:t>
            </w:r>
            <w:r>
              <w:t>环境管理及监测方案</w:t>
            </w:r>
            <w:bookmarkEnd w:id="86"/>
          </w:p>
          <w:p>
            <w:pPr>
              <w:ind w:firstLine="480" w:firstLineChars="200"/>
              <w:rPr>
                <w:rFonts w:ascii="Times New Roman" w:hAnsi="Times New Roman" w:cs="Times New Roman"/>
              </w:rPr>
            </w:pPr>
            <w:r>
              <w:rPr>
                <w:rFonts w:ascii="Times New Roman" w:hAnsi="Times New Roman" w:cs="Times New Roman"/>
              </w:rPr>
              <w:t>在项目设计阶段，严格按照国家有关环保法律、法规要求，论证工程污染情况，设计完善的污染防治措施。对污染防治措施应报环保主管部门审批、备案。</w:t>
            </w:r>
          </w:p>
          <w:p>
            <w:pPr>
              <w:ind w:firstLine="480" w:firstLineChars="200"/>
              <w:rPr>
                <w:rFonts w:ascii="Times New Roman" w:hAnsi="Times New Roman" w:cs="Times New Roman"/>
              </w:rPr>
            </w:pPr>
            <w:r>
              <w:rPr>
                <w:rFonts w:ascii="Times New Roman" w:hAnsi="Times New Roman" w:cs="Times New Roman"/>
              </w:rPr>
              <w:t>在工程建设过程中，制定切实可行的施工期污染防治措施，并设专职管理人员对施工期环境保护措施进行监督和管理。</w:t>
            </w:r>
          </w:p>
          <w:p>
            <w:pPr>
              <w:ind w:firstLine="480" w:firstLineChars="200"/>
              <w:rPr>
                <w:rFonts w:ascii="Times New Roman" w:hAnsi="Times New Roman" w:cs="Times New Roman"/>
              </w:rPr>
            </w:pPr>
            <w:r>
              <w:rPr>
                <w:rFonts w:ascii="Times New Roman" w:hAnsi="Times New Roman" w:cs="Times New Roman"/>
              </w:rPr>
              <w:t>项目建成营运后，兼职环境保护管理人员，负责小区绿化、环保等工作的管理，及协助当地环保部门，做好学校污染的管理工作。</w:t>
            </w:r>
          </w:p>
          <w:p>
            <w:pPr>
              <w:ind w:firstLine="480" w:firstLineChars="200"/>
              <w:rPr>
                <w:rFonts w:ascii="Times New Roman" w:hAnsi="Times New Roman" w:cs="Times New Roman"/>
              </w:rPr>
            </w:pPr>
            <w:r>
              <w:rPr>
                <w:rFonts w:ascii="Times New Roman" w:hAnsi="Times New Roman" w:cs="Times New Roman"/>
              </w:rPr>
              <w:t>根据本项目特点，本项目环境监测任务主要是负责施工期大气、噪声以及营运期废水的定期监测。掌握污染排放情况和防治措施的可行性，为控制污染和环境管理提供依据，监测工作可由当地环境监测站执行。监测方案见表7-27。</w:t>
            </w:r>
          </w:p>
          <w:p>
            <w:pPr>
              <w:jc w:val="center"/>
              <w:rPr>
                <w:rFonts w:ascii="Times New Roman" w:hAnsi="Times New Roman" w:cs="Times New Roman"/>
                <w:b/>
                <w:bCs/>
                <w:szCs w:val="24"/>
              </w:rPr>
            </w:pPr>
            <w:r>
              <w:rPr>
                <w:rFonts w:ascii="Times New Roman" w:hAnsi="Times New Roman" w:cs="Times New Roman"/>
                <w:b/>
                <w:bCs/>
                <w:szCs w:val="24"/>
              </w:rPr>
              <w:t xml:space="preserve">表7-27  </w:t>
            </w:r>
            <w:r>
              <w:rPr>
                <w:rFonts w:hint="eastAsia" w:ascii="Times New Roman" w:hAnsi="Times New Roman" w:cs="Times New Roman"/>
                <w:b/>
                <w:bCs/>
                <w:szCs w:val="24"/>
              </w:rPr>
              <w:t>环境</w:t>
            </w:r>
            <w:r>
              <w:rPr>
                <w:rFonts w:ascii="Times New Roman" w:hAnsi="Times New Roman" w:cs="Times New Roman"/>
                <w:b/>
                <w:bCs/>
                <w:szCs w:val="24"/>
              </w:rPr>
              <w:t>监测方案</w:t>
            </w:r>
          </w:p>
          <w:tbl>
            <w:tblPr>
              <w:tblStyle w:val="23"/>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812"/>
              <w:gridCol w:w="3827"/>
              <w:gridCol w:w="1276"/>
              <w:gridCol w:w="3161"/>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812"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时段</w:t>
                  </w:r>
                </w:p>
              </w:tc>
              <w:tc>
                <w:tcPr>
                  <w:tcW w:w="3827"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监测因子</w:t>
                  </w:r>
                </w:p>
              </w:tc>
              <w:tc>
                <w:tcPr>
                  <w:tcW w:w="1276"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监测频数</w:t>
                  </w:r>
                </w:p>
              </w:tc>
              <w:tc>
                <w:tcPr>
                  <w:tcW w:w="3161" w:type="dxa"/>
                  <w:tcBorders>
                    <w:bottom w:val="single" w:color="auto"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监测点</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72" w:hRule="atLeast"/>
                <w:jc w:val="center"/>
              </w:trPr>
              <w:tc>
                <w:tcPr>
                  <w:tcW w:w="812" w:type="dxa"/>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营运期</w:t>
                  </w:r>
                </w:p>
              </w:tc>
              <w:tc>
                <w:tcPr>
                  <w:tcW w:w="3827"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PH、COD、BOD5 、SS 、氨氮、动植物油</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2次/年</w:t>
                  </w:r>
                </w:p>
              </w:tc>
              <w:tc>
                <w:tcPr>
                  <w:tcW w:w="3161" w:type="dxa"/>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污水处理实施进水口、</w:t>
                  </w:r>
                  <w:r>
                    <w:rPr>
                      <w:rFonts w:ascii="Times New Roman" w:hAnsi="Times New Roman" w:cs="Times New Roman"/>
                      <w:sz w:val="21"/>
                      <w:szCs w:val="21"/>
                    </w:rPr>
                    <w:t>项目总排口</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72" w:hRule="atLeast"/>
                <w:jc w:val="center"/>
              </w:trPr>
              <w:tc>
                <w:tcPr>
                  <w:tcW w:w="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382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食堂油烟</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2次/年</w:t>
                  </w:r>
                </w:p>
              </w:tc>
              <w:tc>
                <w:tcPr>
                  <w:tcW w:w="31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食堂油烟排放口</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72" w:hRule="atLeast"/>
                <w:jc w:val="center"/>
              </w:trPr>
              <w:tc>
                <w:tcPr>
                  <w:tcW w:w="812" w:type="dxa"/>
                  <w:vMerge w:val="continue"/>
                  <w:tcBorders>
                    <w:tl2br w:val="nil"/>
                    <w:tr2bl w:val="nil"/>
                  </w:tcBorders>
                  <w:vAlign w:val="center"/>
                </w:tcPr>
                <w:p>
                  <w:pPr>
                    <w:spacing w:line="240" w:lineRule="auto"/>
                    <w:jc w:val="center"/>
                    <w:rPr>
                      <w:rFonts w:ascii="Times New Roman" w:hAnsi="Times New Roman" w:cs="Times New Roman"/>
                      <w:sz w:val="21"/>
                      <w:szCs w:val="21"/>
                    </w:rPr>
                  </w:pPr>
                </w:p>
              </w:tc>
              <w:tc>
                <w:tcPr>
                  <w:tcW w:w="3827"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LeqdB(A)</w:t>
                  </w:r>
                </w:p>
              </w:tc>
              <w:tc>
                <w:tcPr>
                  <w:tcW w:w="1276"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1次/季</w:t>
                  </w:r>
                </w:p>
              </w:tc>
              <w:tc>
                <w:tcPr>
                  <w:tcW w:w="3161" w:type="dxa"/>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沿学校场界共四个点</w:t>
                  </w:r>
                </w:p>
              </w:tc>
            </w:tr>
          </w:tbl>
          <w:p>
            <w:pPr>
              <w:pStyle w:val="6"/>
              <w:ind w:firstLine="482"/>
              <w:outlineLvl w:val="2"/>
              <w:rPr>
                <w:u w:val="single"/>
              </w:rPr>
            </w:pPr>
            <w:bookmarkStart w:id="87" w:name="_Toc34059554"/>
            <w:r>
              <w:rPr>
                <w:rFonts w:hint="eastAsia"/>
                <w:u w:val="single"/>
              </w:rPr>
              <w:t>2.10选址合理性分析</w:t>
            </w:r>
            <w:bookmarkEnd w:id="87"/>
          </w:p>
          <w:p>
            <w:pPr>
              <w:ind w:firstLine="480" w:firstLineChars="200"/>
              <w:rPr>
                <w:rFonts w:ascii="Times New Roman" w:hAnsi="Times New Roman" w:cs="Times New Roman"/>
                <w:u w:val="single"/>
              </w:rPr>
            </w:pPr>
            <w:r>
              <w:rPr>
                <w:rFonts w:ascii="Times New Roman" w:hAnsi="Times New Roman" w:cs="Times New Roman"/>
                <w:u w:val="single"/>
              </w:rPr>
              <w:t>本项目为新建项目，位于</w:t>
            </w:r>
            <w:r>
              <w:rPr>
                <w:rFonts w:hint="eastAsia" w:ascii="Times New Roman" w:hAnsi="Times New Roman" w:cs="Times New Roman"/>
                <w:u w:val="single"/>
              </w:rPr>
              <w:t>木里港片</w:t>
            </w:r>
            <w:r>
              <w:rPr>
                <w:rFonts w:ascii="Times New Roman" w:hAnsi="Times New Roman" w:cs="Times New Roman"/>
                <w:u w:val="single"/>
              </w:rPr>
              <w:t>区，选址范围内有零散居民，本项目选址可行性分析如下：</w:t>
            </w:r>
          </w:p>
          <w:p>
            <w:pPr>
              <w:ind w:firstLine="480" w:firstLineChars="200"/>
              <w:rPr>
                <w:rFonts w:ascii="Times New Roman" w:hAnsi="Times New Roman" w:cs="Times New Roman"/>
                <w:u w:val="single"/>
              </w:rPr>
            </w:pPr>
            <w:r>
              <w:rPr>
                <w:rFonts w:ascii="Times New Roman" w:hAnsi="Times New Roman" w:cs="Times New Roman"/>
                <w:u w:val="single"/>
              </w:rPr>
              <w:t>（1）项目选址位于岳阳经济技术开发区木里港管理处新园社区，</w:t>
            </w:r>
            <w:r>
              <w:rPr>
                <w:rFonts w:hint="eastAsia" w:ascii="Times New Roman" w:hAnsi="Times New Roman" w:cs="Times New Roman"/>
                <w:u w:val="single"/>
              </w:rPr>
              <w:t>东面</w:t>
            </w:r>
            <w:r>
              <w:rPr>
                <w:rFonts w:ascii="Times New Roman" w:hAnsi="Times New Roman" w:cs="Times New Roman"/>
                <w:u w:val="single"/>
              </w:rPr>
              <w:t>环路</w:t>
            </w:r>
            <w:r>
              <w:rPr>
                <w:rFonts w:hint="eastAsia" w:ascii="Times New Roman" w:hAnsi="Times New Roman" w:cs="Times New Roman"/>
                <w:u w:val="single"/>
              </w:rPr>
              <w:t>，南面拟建新华路</w:t>
            </w:r>
            <w:r>
              <w:rPr>
                <w:rFonts w:ascii="Times New Roman" w:hAnsi="Times New Roman" w:cs="Times New Roman"/>
                <w:u w:val="single"/>
              </w:rPr>
              <w:t>，方便学生和教师的出入。</w:t>
            </w:r>
          </w:p>
          <w:p>
            <w:pPr>
              <w:ind w:firstLine="480" w:firstLineChars="200"/>
              <w:rPr>
                <w:rFonts w:ascii="Times New Roman" w:hAnsi="Times New Roman" w:cs="Times New Roman"/>
                <w:u w:val="single"/>
              </w:rPr>
            </w:pPr>
            <w:r>
              <w:rPr>
                <w:rFonts w:ascii="Times New Roman" w:hAnsi="Times New Roman" w:cs="Times New Roman"/>
                <w:u w:val="single"/>
              </w:rPr>
              <w:t>（2）根据实地调查，项目区域内及周边500m范围内无大型污染性企业和工厂，项目周边环境不会成为项目的限制因素，项目建成后，主要供学生学习和住宿，与周边环境协调、相容。</w:t>
            </w:r>
          </w:p>
          <w:p>
            <w:pPr>
              <w:ind w:firstLine="480" w:firstLineChars="200"/>
              <w:rPr>
                <w:rFonts w:ascii="Times New Roman" w:hAnsi="Times New Roman" w:cs="Times New Roman"/>
                <w:u w:val="single"/>
              </w:rPr>
            </w:pPr>
            <w:r>
              <w:rPr>
                <w:rFonts w:ascii="Times New Roman" w:hAnsi="Times New Roman" w:cs="Times New Roman"/>
                <w:u w:val="single"/>
              </w:rPr>
              <w:t>（3）项目拟建地区内供水、</w:t>
            </w:r>
            <w:r>
              <w:rPr>
                <w:rFonts w:hint="eastAsia" w:ascii="Times New Roman" w:hAnsi="Times New Roman" w:cs="Times New Roman"/>
                <w:u w:val="single"/>
              </w:rPr>
              <w:t>排水</w:t>
            </w:r>
            <w:r>
              <w:rPr>
                <w:rFonts w:ascii="Times New Roman" w:hAnsi="Times New Roman" w:cs="Times New Roman"/>
                <w:u w:val="single"/>
              </w:rPr>
              <w:t>供电及供气等设施齐全</w:t>
            </w:r>
            <w:r>
              <w:rPr>
                <w:rFonts w:hint="eastAsia" w:ascii="Times New Roman" w:hAnsi="Times New Roman" w:cs="Times New Roman"/>
                <w:u w:val="single"/>
              </w:rPr>
              <w:t>（项目所在地污水管网未接通罗家坡污水处理厂，故本项目拟自建污水处理站，废水经污水处理站处理达标后排入南湖）</w:t>
            </w:r>
            <w:r>
              <w:rPr>
                <w:rFonts w:ascii="Times New Roman" w:hAnsi="Times New Roman" w:cs="Times New Roman"/>
                <w:u w:val="single"/>
              </w:rPr>
              <w:t>。项目在建设中，采取措施严格控制施工期噪声和扬尘污染，减少施工噪声、扬尘对周边环境的影响，对施工过程中产生的废水进行预处理。在做好污染防治措施的前提下，项目的建设对周边环境的影响较小。</w:t>
            </w:r>
          </w:p>
          <w:p>
            <w:pPr>
              <w:ind w:firstLine="480" w:firstLineChars="200"/>
              <w:rPr>
                <w:rFonts w:ascii="Times New Roman" w:hAnsi="Times New Roman" w:cs="Times New Roman"/>
                <w:u w:val="single"/>
              </w:rPr>
            </w:pPr>
            <w:r>
              <w:rPr>
                <w:rFonts w:ascii="Times New Roman" w:hAnsi="Times New Roman" w:cs="Times New Roman"/>
                <w:u w:val="single"/>
              </w:rPr>
              <w:t>（4）项目为学校建设，建成后不改变该区现有环境功能。因此，从建设条件而言，项目选址是可行的。</w:t>
            </w:r>
          </w:p>
          <w:p>
            <w:pPr>
              <w:ind w:firstLine="480" w:firstLineChars="200"/>
              <w:rPr>
                <w:rFonts w:ascii="Times New Roman" w:hAnsi="Times New Roman" w:cs="Times New Roman"/>
                <w:u w:val="single"/>
              </w:rPr>
            </w:pPr>
            <w:r>
              <w:rPr>
                <w:rFonts w:ascii="Times New Roman" w:hAnsi="Times New Roman" w:cs="Times New Roman"/>
                <w:u w:val="single"/>
              </w:rPr>
              <w:t>（5）项目目前已经取得岳阳市规划局出具的规划用地红线图（详见附图</w:t>
            </w:r>
            <w:r>
              <w:rPr>
                <w:rFonts w:hint="eastAsia" w:ascii="Times New Roman" w:hAnsi="Times New Roman" w:cs="Times New Roman"/>
                <w:u w:val="single"/>
              </w:rPr>
              <w:t>5</w:t>
            </w:r>
            <w:r>
              <w:rPr>
                <w:rFonts w:ascii="Times New Roman" w:hAnsi="Times New Roman" w:cs="Times New Roman"/>
                <w:u w:val="single"/>
              </w:rPr>
              <w:t>），说明项目的建设符合城市总体规划的要求。</w:t>
            </w:r>
          </w:p>
          <w:p>
            <w:pPr>
              <w:ind w:firstLine="480" w:firstLineChars="200"/>
              <w:rPr>
                <w:rFonts w:ascii="Times New Roman" w:hAnsi="Times New Roman" w:cs="Times New Roman"/>
                <w:u w:val="single"/>
              </w:rPr>
            </w:pPr>
            <w:r>
              <w:rPr>
                <w:rFonts w:ascii="Times New Roman" w:hAnsi="Times New Roman" w:cs="Times New Roman"/>
                <w:u w:val="single"/>
              </w:rPr>
              <w:t>（6）根据本次评价“三线一单”相符性分析，本项目的建设符合“三线一单”的相关要求。</w:t>
            </w:r>
          </w:p>
          <w:p>
            <w:pPr>
              <w:ind w:firstLine="480" w:firstLineChars="200"/>
              <w:rPr>
                <w:rFonts w:ascii="Times New Roman" w:hAnsi="Times New Roman" w:cs="Times New Roman"/>
                <w:u w:val="single"/>
              </w:rPr>
            </w:pPr>
            <w:r>
              <w:rPr>
                <w:rFonts w:ascii="Times New Roman" w:hAnsi="Times New Roman" w:cs="Times New Roman"/>
                <w:u w:val="single"/>
              </w:rPr>
              <w:t>（7）根据</w:t>
            </w:r>
            <w:r>
              <w:rPr>
                <w:rFonts w:hint="eastAsia" w:ascii="Times New Roman" w:hAnsi="Times New Roman" w:cs="Times New Roman"/>
                <w:u w:val="single"/>
              </w:rPr>
              <w:t>木里港片区控制性详细规划图可知</w:t>
            </w:r>
            <w:r>
              <w:rPr>
                <w:rFonts w:ascii="Times New Roman" w:hAnsi="Times New Roman" w:cs="Times New Roman"/>
                <w:u w:val="single"/>
              </w:rPr>
              <w:t>，本项目选址的用地性质为中小学用地（详见附图</w:t>
            </w:r>
            <w:r>
              <w:rPr>
                <w:rFonts w:hint="eastAsia" w:ascii="Times New Roman" w:hAnsi="Times New Roman" w:cs="Times New Roman"/>
                <w:u w:val="single"/>
              </w:rPr>
              <w:t>5</w:t>
            </w:r>
            <w:r>
              <w:rPr>
                <w:rFonts w:ascii="Times New Roman" w:hAnsi="Times New Roman" w:cs="Times New Roman"/>
                <w:u w:val="single"/>
              </w:rPr>
              <w:t>），符合总体规划的要求。</w:t>
            </w:r>
          </w:p>
          <w:p>
            <w:pPr>
              <w:ind w:firstLine="480" w:firstLineChars="200"/>
              <w:rPr>
                <w:rFonts w:ascii="Times New Roman" w:hAnsi="Times New Roman" w:cs="Times New Roman"/>
                <w:u w:val="single"/>
              </w:rPr>
            </w:pPr>
            <w:r>
              <w:rPr>
                <w:rFonts w:ascii="Times New Roman" w:hAnsi="Times New Roman" w:cs="Times New Roman"/>
                <w:u w:val="single"/>
              </w:rPr>
              <w:t>（8）依据《湖南省中小学校幼儿园规划建设条例》等规定的建设分析可知，项目选址符合相关条例、发展规划的要求。</w:t>
            </w:r>
          </w:p>
          <w:p>
            <w:pPr>
              <w:ind w:firstLine="480" w:firstLineChars="200"/>
              <w:rPr>
                <w:rFonts w:ascii="Times New Roman" w:hAnsi="Times New Roman" w:cs="Times New Roman"/>
              </w:rPr>
            </w:pPr>
            <w:r>
              <w:rPr>
                <w:rFonts w:ascii="Times New Roman" w:hAnsi="Times New Roman" w:cs="Times New Roman"/>
                <w:u w:val="single"/>
              </w:rPr>
              <w:t>综上所述，项目拟建地交通便利，环境良好，项目的建设对周边环境的影响较小，在落实施工期噪声和扬尘污染防治措施的前提下，从环保角度考虑，项目选址合理。</w:t>
            </w:r>
          </w:p>
          <w:p>
            <w:pPr>
              <w:pStyle w:val="6"/>
              <w:ind w:firstLine="482"/>
              <w:outlineLvl w:val="2"/>
              <w:rPr>
                <w:rFonts w:cs="Times New Roman"/>
                <w:bCs/>
                <w:szCs w:val="24"/>
              </w:rPr>
            </w:pPr>
            <w:bookmarkStart w:id="88" w:name="_Toc34059555"/>
            <w:r>
              <w:rPr>
                <w:rFonts w:hint="eastAsia" w:cs="Times New Roman"/>
                <w:bCs/>
                <w:szCs w:val="24"/>
              </w:rPr>
              <w:t>2</w:t>
            </w:r>
            <w:r>
              <w:rPr>
                <w:rFonts w:cs="Times New Roman"/>
                <w:bCs/>
                <w:szCs w:val="24"/>
              </w:rPr>
              <w:t>.11</w:t>
            </w:r>
            <w:r>
              <w:rPr>
                <w:rFonts w:hint="eastAsia" w:cs="Times New Roman"/>
                <w:bCs/>
                <w:szCs w:val="24"/>
              </w:rPr>
              <w:t>对巴山港景观影响分析</w:t>
            </w:r>
            <w:bookmarkEnd w:id="88"/>
          </w:p>
          <w:p>
            <w:pPr>
              <w:ind w:firstLine="480" w:firstLineChars="200"/>
              <w:rPr>
                <w:rFonts w:ascii="Times New Roman" w:hAnsi="Times New Roman" w:cs="Times New Roman"/>
                <w:u w:val="single"/>
              </w:rPr>
            </w:pPr>
            <w:r>
              <w:rPr>
                <w:rFonts w:hint="eastAsia" w:ascii="Times New Roman" w:hAnsi="Times New Roman" w:cs="Times New Roman"/>
                <w:u w:val="single"/>
              </w:rPr>
              <w:t>本项目考虑到在</w:t>
            </w:r>
            <w:r>
              <w:rPr>
                <w:rFonts w:ascii="Times New Roman" w:hAnsi="Times New Roman" w:cs="Times New Roman"/>
                <w:u w:val="single"/>
              </w:rPr>
              <w:t>施工场地周围短暂临时堆放建筑材料、工程废土、废渣的过程中，改变了原有地面现状，在雨季或大风天气情况下</w:t>
            </w:r>
            <w:r>
              <w:rPr>
                <w:rFonts w:hint="eastAsia" w:ascii="Times New Roman" w:hAnsi="Times New Roman" w:cs="Times New Roman"/>
                <w:u w:val="single"/>
              </w:rPr>
              <w:t>，地表裸露层会流往巴山港水体，可能会导致</w:t>
            </w:r>
            <w:r>
              <w:rPr>
                <w:rFonts w:hint="eastAsia"/>
                <w:u w:val="single"/>
              </w:rPr>
              <w:t>水体混浊，同时在施工过程中会有一定量的扬尘产生，对景观周围的大气环境有一定影响，故本项目在施工场地采取截水沟导流以及采取抑尘洒水、建立围挡等措施来避免对巴山港景观产生影响。项目建成后，污水管网未与污水处理厂接通时，本项目污水井自建污水处理站处理后进入北港河最终排入南湖，不经过巴山港；污水管网与污水处理厂接通时，本项目污水经市政管网进入罗家坡污水处理厂处理达标后进入北港河最终排入南湖。综上本项目建成后与周边环境协调、相容，对巴山港影响甚微。</w:t>
            </w:r>
          </w:p>
          <w:p>
            <w:pPr>
              <w:pStyle w:val="6"/>
              <w:ind w:firstLine="482"/>
              <w:outlineLvl w:val="2"/>
              <w:rPr>
                <w:rFonts w:cs="Times New Roman"/>
                <w:bCs/>
                <w:szCs w:val="24"/>
                <w:u w:val="single"/>
              </w:rPr>
            </w:pPr>
            <w:bookmarkStart w:id="89" w:name="_Toc34059556"/>
            <w:r>
              <w:rPr>
                <w:rFonts w:hint="eastAsia"/>
                <w:u w:val="single"/>
              </w:rPr>
              <w:t>2.1</w:t>
            </w:r>
            <w:r>
              <w:rPr>
                <w:u w:val="single"/>
              </w:rPr>
              <w:t>2</w:t>
            </w:r>
            <w:r>
              <w:rPr>
                <w:rFonts w:cs="Times New Roman"/>
                <w:bCs/>
                <w:szCs w:val="24"/>
                <w:u w:val="single"/>
              </w:rPr>
              <w:t>平面布局合理性分析</w:t>
            </w:r>
            <w:bookmarkEnd w:id="89"/>
          </w:p>
          <w:p>
            <w:pPr>
              <w:ind w:firstLine="480" w:firstLineChars="200"/>
              <w:rPr>
                <w:rFonts w:ascii="Times New Roman" w:hAnsi="Times New Roman" w:cs="Times New Roman"/>
                <w:u w:val="single"/>
              </w:rPr>
            </w:pPr>
            <w:r>
              <w:rPr>
                <w:rFonts w:hint="eastAsia" w:ascii="Times New Roman" w:hAnsi="Times New Roman" w:cs="Times New Roman"/>
                <w:u w:val="single"/>
              </w:rPr>
              <w:t>本项目</w:t>
            </w:r>
            <w:r>
              <w:rPr>
                <w:rFonts w:ascii="Times New Roman" w:hAnsi="Times New Roman" w:cs="Times New Roman"/>
                <w:u w:val="single"/>
              </w:rPr>
              <w:t>教学区规划及单体设计完全按照区委、区政府多次讨论定稿的更改方案进行，规模为</w:t>
            </w:r>
            <w:r>
              <w:rPr>
                <w:rFonts w:hint="eastAsia" w:ascii="Times New Roman" w:hAnsi="Times New Roman" w:cs="Times New Roman"/>
                <w:u w:val="single"/>
              </w:rPr>
              <w:t>54</w:t>
            </w:r>
            <w:r>
              <w:rPr>
                <w:rFonts w:ascii="Times New Roman" w:hAnsi="Times New Roman" w:cs="Times New Roman"/>
                <w:u w:val="single"/>
              </w:rPr>
              <w:t>个班。按《中小学建筑规范》、《城市中小学校舍建设标准》及《岳阳市城市规划区修建性详细规划和建设工程设计方案管理若干规定》对相应的教学各专业用房和配套建筑进行配置，并考虑教育发展的特点，留有一定空间，便于调整使用。</w:t>
            </w:r>
          </w:p>
          <w:p>
            <w:pPr>
              <w:ind w:firstLine="480" w:firstLineChars="200"/>
              <w:rPr>
                <w:u w:val="single"/>
              </w:rPr>
            </w:pPr>
            <w:r>
              <w:rPr>
                <w:rFonts w:ascii="Times New Roman" w:hAnsi="Times New Roman" w:cs="Times New Roman"/>
                <w:u w:val="single"/>
              </w:rPr>
              <w:t>在具体设计中，教学楼分布在校区</w:t>
            </w:r>
            <w:r>
              <w:rPr>
                <w:rFonts w:hint="eastAsia" w:ascii="Times New Roman" w:hAnsi="Times New Roman" w:cs="Times New Roman"/>
                <w:u w:val="single"/>
              </w:rPr>
              <w:t>东部</w:t>
            </w:r>
            <w:r>
              <w:rPr>
                <w:rFonts w:ascii="Times New Roman" w:hAnsi="Times New Roman" w:cs="Times New Roman"/>
                <w:u w:val="single"/>
              </w:rPr>
              <w:t>，从</w:t>
            </w:r>
            <w:r>
              <w:rPr>
                <w:rFonts w:hint="eastAsia" w:ascii="Times New Roman" w:hAnsi="Times New Roman" w:cs="Times New Roman"/>
                <w:u w:val="single"/>
              </w:rPr>
              <w:t>东</w:t>
            </w:r>
            <w:r>
              <w:rPr>
                <w:rFonts w:ascii="Times New Roman" w:hAnsi="Times New Roman" w:cs="Times New Roman"/>
                <w:u w:val="single"/>
              </w:rPr>
              <w:t>向</w:t>
            </w:r>
            <w:r>
              <w:rPr>
                <w:rFonts w:hint="eastAsia" w:ascii="Times New Roman" w:hAnsi="Times New Roman" w:cs="Times New Roman"/>
                <w:u w:val="single"/>
              </w:rPr>
              <w:t>西</w:t>
            </w:r>
            <w:r>
              <w:rPr>
                <w:rFonts w:ascii="Times New Roman" w:hAnsi="Times New Roman" w:cs="Times New Roman"/>
                <w:u w:val="single"/>
              </w:rPr>
              <w:t>依次为小学教学楼（</w:t>
            </w:r>
            <w:r>
              <w:rPr>
                <w:rFonts w:hint="eastAsia" w:ascii="Times New Roman" w:hAnsi="Times New Roman" w:cs="Times New Roman"/>
                <w:u w:val="single"/>
              </w:rPr>
              <w:t>3</w:t>
            </w:r>
            <w:r>
              <w:rPr>
                <w:rFonts w:ascii="Times New Roman" w:hAnsi="Times New Roman" w:cs="Times New Roman"/>
                <w:u w:val="single"/>
              </w:rPr>
              <w:t>栋）</w:t>
            </w:r>
            <w:r>
              <w:rPr>
                <w:rFonts w:hint="eastAsia" w:ascii="Times New Roman" w:hAnsi="Times New Roman" w:cs="Times New Roman"/>
                <w:u w:val="single"/>
              </w:rPr>
              <w:t>，中学</w:t>
            </w:r>
            <w:r>
              <w:rPr>
                <w:rFonts w:ascii="Times New Roman" w:hAnsi="Times New Roman" w:cs="Times New Roman"/>
                <w:u w:val="single"/>
              </w:rPr>
              <w:t>教学楼（</w:t>
            </w:r>
            <w:r>
              <w:rPr>
                <w:rFonts w:hint="eastAsia" w:ascii="Times New Roman" w:hAnsi="Times New Roman" w:cs="Times New Roman"/>
                <w:u w:val="single"/>
              </w:rPr>
              <w:t>2</w:t>
            </w:r>
            <w:r>
              <w:rPr>
                <w:rFonts w:ascii="Times New Roman" w:hAnsi="Times New Roman" w:cs="Times New Roman"/>
                <w:u w:val="single"/>
              </w:rPr>
              <w:t>栋）</w:t>
            </w:r>
            <w:r>
              <w:rPr>
                <w:rFonts w:hint="eastAsia" w:ascii="Times New Roman" w:hAnsi="Times New Roman" w:cs="Times New Roman"/>
                <w:u w:val="single"/>
              </w:rPr>
              <w:t>及综合楼、午休楼，田径跑道及篮球场。自北向南分别是小学教学楼（3栋），</w:t>
            </w:r>
            <w:r>
              <w:rPr>
                <w:rFonts w:hint="eastAsia" w:asciiTheme="minorEastAsia" w:hAnsiTheme="minorEastAsia" w:cstheme="minorEastAsia"/>
                <w:u w:val="single"/>
              </w:rPr>
              <w:t>综合楼</w:t>
            </w:r>
            <w:r>
              <w:rPr>
                <w:rFonts w:hint="eastAsia" w:ascii="宋体" w:hAnsi="宋体" w:eastAsia="宋体" w:cs="宋体"/>
                <w:u w:val="single"/>
              </w:rPr>
              <w:t>→</w:t>
            </w:r>
            <w:r>
              <w:rPr>
                <w:rFonts w:hint="eastAsia" w:ascii="Times New Roman" w:hAnsi="Times New Roman" w:cs="Times New Roman"/>
                <w:u w:val="single"/>
              </w:rPr>
              <w:t>学生午休楼</w:t>
            </w:r>
            <w:r>
              <w:rPr>
                <w:rFonts w:hint="eastAsia" w:ascii="宋体" w:hAnsi="宋体" w:eastAsia="宋体" w:cs="宋体"/>
                <w:u w:val="single"/>
              </w:rPr>
              <w:t>→中学教学楼（2栋），</w:t>
            </w:r>
            <w:r>
              <w:rPr>
                <w:rFonts w:ascii="Times New Roman" w:hAnsi="Times New Roman" w:cs="Times New Roman"/>
                <w:u w:val="single"/>
              </w:rPr>
              <w:t>设有地下层，内有停车场和辅助用房。各分区相互不干扰，交通便捷，既有利于学习，又有利于课外活动、休息，且较好的避开了外部干扰。在保证应有间距的情况下，最大限度的利用地块，给学生留足了更多的活动场地，并精心打造校园景观，丰富学习空间，净化室内空气，美化校园环境，以利于学生紧张的学习后能够放松与休息，促进学生的生理健康和智力发展。</w:t>
            </w:r>
          </w:p>
          <w:p>
            <w:pPr>
              <w:ind w:firstLine="480" w:firstLineChars="200"/>
              <w:rPr>
                <w:rFonts w:ascii="Times New Roman" w:hAnsi="Times New Roman" w:cs="Times New Roman"/>
                <w:u w:val="single"/>
              </w:rPr>
            </w:pPr>
            <w:r>
              <w:rPr>
                <w:rFonts w:ascii="Times New Roman" w:hAnsi="Times New Roman" w:cs="Times New Roman"/>
                <w:u w:val="single"/>
              </w:rPr>
              <w:t>综上分析，项目总平面布置结构清晰、序列严谨，富有规律性和激励性，主题突出，特色鲜明。设计空间变化丰富，功能布局合；同时兼顾教学区的安静环境和运动区的热闹相结合，在整体上形成动静明显隔离的功能环境。</w:t>
            </w:r>
          </w:p>
          <w:p>
            <w:pPr>
              <w:ind w:firstLine="480" w:firstLineChars="200"/>
              <w:rPr>
                <w:rFonts w:ascii="Times New Roman" w:hAnsi="Times New Roman" w:cs="Times New Roman"/>
                <w:u w:val="single"/>
              </w:rPr>
            </w:pPr>
            <w:r>
              <w:rPr>
                <w:rFonts w:ascii="Times New Roman" w:hAnsi="Times New Roman" w:cs="Times New Roman"/>
                <w:u w:val="single"/>
              </w:rPr>
              <w:t>此外，本项目的辅助设施在选址、设计和布置上均满足相关规范要求，</w:t>
            </w:r>
            <w:r>
              <w:rPr>
                <w:rFonts w:hint="eastAsia" w:ascii="Times New Roman" w:hAnsi="Times New Roman" w:cs="Times New Roman"/>
                <w:u w:val="single"/>
              </w:rPr>
              <w:t>本项目发电机房、变压器均设置于开闭间，位于地下室；水泵房等消防控制室位于地下室；能减轻噪声对住户的影响，污水处理站位于篮球场后方，污水处理站远离居住区，能尽量减少污水处理站运行时产生的噪声与臭气对居民的影响，减少垃圾运输过程带来的视觉及嗅觉方面的不良影响。</w:t>
            </w:r>
          </w:p>
          <w:p>
            <w:pPr>
              <w:ind w:firstLine="480" w:firstLineChars="200"/>
              <w:rPr>
                <w:rFonts w:ascii="Times New Roman" w:hAnsi="Times New Roman" w:cs="Times New Roman"/>
                <w:u w:val="single"/>
              </w:rPr>
            </w:pPr>
            <w:r>
              <w:rPr>
                <w:rFonts w:hint="eastAsia" w:ascii="Times New Roman" w:hAnsi="Times New Roman" w:cs="Times New Roman"/>
                <w:u w:val="single"/>
              </w:rPr>
              <w:t>综上，本项目设备平面布局是合理的。</w:t>
            </w:r>
          </w:p>
          <w:p>
            <w:pPr>
              <w:ind w:firstLine="480" w:firstLineChars="200"/>
              <w:rPr>
                <w:rFonts w:ascii="Times New Roman" w:hAnsi="Times New Roman" w:cs="Times New Roman"/>
                <w:u w:val="single"/>
              </w:rPr>
            </w:pPr>
            <w:r>
              <w:rPr>
                <w:rFonts w:ascii="Times New Roman" w:hAnsi="Times New Roman" w:cs="Times New Roman"/>
                <w:u w:val="single"/>
              </w:rPr>
              <w:t>项目各区域内均能做到人流、车流、消防的畅通，同时通过设置绿化带、围墙减少了交通噪声对校内环境的影响。</w:t>
            </w:r>
          </w:p>
          <w:p>
            <w:pPr>
              <w:ind w:firstLine="480" w:firstLineChars="200"/>
              <w:rPr>
                <w:rFonts w:ascii="Times New Roman" w:hAnsi="Times New Roman" w:cs="Times New Roman"/>
                <w:u w:val="single"/>
              </w:rPr>
            </w:pPr>
            <w:r>
              <w:rPr>
                <w:rFonts w:ascii="Times New Roman" w:hAnsi="Times New Roman" w:cs="Times New Roman"/>
                <w:u w:val="single"/>
              </w:rPr>
              <w:t>项目平面布局满足《中小学校建筑设计规范》（GB50099-2011）要求。具体分析见表7-28。</w:t>
            </w:r>
          </w:p>
          <w:p>
            <w:pPr>
              <w:jc w:val="center"/>
              <w:rPr>
                <w:rFonts w:ascii="Times New Roman" w:hAnsi="Times New Roman" w:cs="Times New Roman"/>
                <w:b/>
                <w:szCs w:val="24"/>
                <w:u w:val="single"/>
              </w:rPr>
            </w:pPr>
            <w:r>
              <w:rPr>
                <w:rFonts w:ascii="Times New Roman" w:hAnsi="Times New Roman" w:cs="Times New Roman"/>
                <w:b/>
                <w:szCs w:val="24"/>
                <w:u w:val="single"/>
              </w:rPr>
              <w:t>表7-28  平面布置合理性分析</w:t>
            </w:r>
          </w:p>
          <w:tbl>
            <w:tblPr>
              <w:tblStyle w:val="23"/>
              <w:tblW w:w="4998" w:type="pct"/>
              <w:tblInd w:w="15"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927"/>
              <w:gridCol w:w="3347"/>
              <w:gridCol w:w="96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9" w:hRule="atLeast"/>
              </w:trPr>
              <w:tc>
                <w:tcPr>
                  <w:tcW w:w="2666" w:type="pct"/>
                  <w:tcBorders>
                    <w:bottom w:val="single" w:color="auto" w:sz="12" w:space="0"/>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《中小学校建筑设计规范》要求</w:t>
                  </w:r>
                </w:p>
              </w:tc>
              <w:tc>
                <w:tcPr>
                  <w:tcW w:w="1811" w:type="pct"/>
                  <w:tcBorders>
                    <w:bottom w:val="single" w:color="auto" w:sz="12" w:space="0"/>
                  </w:tcBorders>
                  <w:vAlign w:val="center"/>
                </w:tcPr>
                <w:p>
                  <w:pPr>
                    <w:spacing w:line="240" w:lineRule="auto"/>
                    <w:jc w:val="center"/>
                    <w:rPr>
                      <w:rFonts w:ascii="Times New Roman" w:hAnsi="Times New Roman" w:cs="Times New Roman"/>
                      <w:b/>
                      <w:bCs/>
                      <w:sz w:val="21"/>
                      <w:szCs w:val="21"/>
                      <w:u w:val="single"/>
                    </w:rPr>
                  </w:pPr>
                  <w:r>
                    <w:rPr>
                      <w:rFonts w:hint="eastAsia" w:ascii="Times New Roman" w:hAnsi="Times New Roman" w:cs="Times New Roman"/>
                      <w:b/>
                      <w:bCs/>
                      <w:sz w:val="21"/>
                      <w:szCs w:val="21"/>
                      <w:u w:val="single"/>
                    </w:rPr>
                    <w:t>木里港</w:t>
                  </w:r>
                  <w:r>
                    <w:rPr>
                      <w:rFonts w:ascii="Times New Roman" w:hAnsi="Times New Roman" w:cs="Times New Roman"/>
                      <w:b/>
                      <w:bCs/>
                      <w:sz w:val="21"/>
                      <w:szCs w:val="21"/>
                      <w:u w:val="single"/>
                    </w:rPr>
                    <w:t>学校平面布置合理性分析</w:t>
                  </w:r>
                </w:p>
              </w:tc>
              <w:tc>
                <w:tcPr>
                  <w:tcW w:w="521" w:type="pct"/>
                  <w:tcBorders>
                    <w:bottom w:val="single" w:color="auto" w:sz="12" w:space="0"/>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符合性</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 w:hRule="atLeast"/>
              </w:trPr>
              <w:tc>
                <w:tcPr>
                  <w:tcW w:w="2666"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建筑容积率不宜大于0.9</w:t>
                  </w:r>
                </w:p>
              </w:tc>
              <w:tc>
                <w:tcPr>
                  <w:tcW w:w="1811"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为</w:t>
                  </w:r>
                  <w:r>
                    <w:rPr>
                      <w:rFonts w:hint="eastAsia" w:ascii="Times New Roman" w:hAnsi="Times New Roman" w:cs="Times New Roman"/>
                      <w:sz w:val="21"/>
                      <w:szCs w:val="21"/>
                      <w:u w:val="single"/>
                    </w:rPr>
                    <w:t>0.79</w:t>
                  </w:r>
                </w:p>
              </w:tc>
              <w:tc>
                <w:tcPr>
                  <w:tcW w:w="521" w:type="pct"/>
                  <w:tcBorders>
                    <w:top w:val="single" w:color="auto" w:sz="12" w:space="0"/>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教学用房、运动场地等功能分区明确</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学校内各功能区</w:t>
                  </w:r>
                </w:p>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分区明确</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风雨操场应离开教学区、靠近室外运动场地布置</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满足要求</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262"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学校主要教学用房的外墙面与机动车流量超过每小时270辆的道路同侧路边的距离不应小于80m，当小于80m时，必须采取有效的隔声措施</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教学楼与周边主干道距离在80m以上，能满足要求</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校门与城镇干道间应留出一定缓冲距离</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留有距离</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4"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教室的长边与运动场地的间距不应小于25m</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教学楼侧对运动场地在30m以上</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92"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校区内不得有架空高压输电线穿过</w:t>
                  </w:r>
                </w:p>
              </w:tc>
              <w:tc>
                <w:tcPr>
                  <w:tcW w:w="181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满足要求</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5" w:hRule="atLeast"/>
              </w:trPr>
              <w:tc>
                <w:tcPr>
                  <w:tcW w:w="266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学校田径运动场尺寸250-400</w:t>
                  </w:r>
                </w:p>
              </w:tc>
              <w:tc>
                <w:tcPr>
                  <w:tcW w:w="1811" w:type="pct"/>
                  <w:tcBorders>
                    <w:tl2br w:val="nil"/>
                    <w:tr2bl w:val="nil"/>
                  </w:tcBorders>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建有2</w:t>
                  </w:r>
                  <w:r>
                    <w:rPr>
                      <w:rFonts w:hint="eastAsia" w:ascii="Times New Roman" w:hAnsi="Times New Roman" w:cs="Times New Roman"/>
                      <w:sz w:val="21"/>
                      <w:szCs w:val="21"/>
                      <w:u w:val="single"/>
                    </w:rPr>
                    <w:t>50</w:t>
                  </w:r>
                  <w:r>
                    <w:rPr>
                      <w:rFonts w:ascii="Times New Roman" w:hAnsi="Times New Roman" w:cs="Times New Roman"/>
                      <w:sz w:val="21"/>
                      <w:szCs w:val="21"/>
                      <w:u w:val="single"/>
                    </w:rPr>
                    <w:t>m</w:t>
                  </w:r>
                  <w:r>
                    <w:rPr>
                      <w:rFonts w:hint="eastAsia" w:ascii="Times New Roman" w:hAnsi="Times New Roman" w:cs="Times New Roman"/>
                      <w:sz w:val="21"/>
                      <w:szCs w:val="21"/>
                      <w:u w:val="single"/>
                    </w:rPr>
                    <w:t>运动场</w:t>
                  </w:r>
                </w:p>
              </w:tc>
              <w:tc>
                <w:tcPr>
                  <w:tcW w:w="521"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合理</w:t>
                  </w:r>
                </w:p>
              </w:tc>
            </w:tr>
          </w:tbl>
          <w:p>
            <w:pPr>
              <w:ind w:firstLine="480" w:firstLineChars="200"/>
              <w:rPr>
                <w:rFonts w:ascii="Times New Roman" w:hAnsi="Times New Roman" w:cs="Times New Roman"/>
                <w:szCs w:val="24"/>
                <w:u w:val="single"/>
              </w:rPr>
            </w:pPr>
            <w:r>
              <w:rPr>
                <w:rFonts w:ascii="Times New Roman" w:hAnsi="Times New Roman" w:cs="Times New Roman"/>
                <w:szCs w:val="24"/>
                <w:u w:val="single"/>
              </w:rPr>
              <w:t>根据上表可知，本项目平面布局的建设符合《中小学校建筑设计规范》（GB50099-2011）要求。</w:t>
            </w:r>
          </w:p>
          <w:p>
            <w:pPr>
              <w:pStyle w:val="36"/>
              <w:ind w:firstLine="480" w:firstLineChars="200"/>
              <w:rPr>
                <w:rFonts w:ascii="Times New Roman" w:hAnsi="Times New Roman" w:cs="Times New Roman"/>
                <w:szCs w:val="24"/>
                <w:u w:val="single"/>
              </w:rPr>
            </w:pPr>
            <w:r>
              <w:rPr>
                <w:rFonts w:ascii="Times New Roman" w:hAnsi="Times New Roman" w:cs="Times New Roman"/>
                <w:szCs w:val="24"/>
                <w:u w:val="single"/>
              </w:rPr>
              <w:t>综上所述，本项目平面布置较合理。</w:t>
            </w:r>
          </w:p>
          <w:p>
            <w:pPr>
              <w:pStyle w:val="6"/>
              <w:ind w:firstLine="482"/>
              <w:outlineLvl w:val="2"/>
            </w:pPr>
            <w:bookmarkStart w:id="90" w:name="_Toc34059557"/>
            <w:r>
              <w:rPr>
                <w:rFonts w:hint="eastAsia"/>
              </w:rPr>
              <w:t>2.</w:t>
            </w:r>
            <w:r>
              <w:t>13</w:t>
            </w:r>
            <w:r>
              <w:rPr>
                <w:rFonts w:hint="eastAsia"/>
              </w:rPr>
              <w:t>总量控制指标分析</w:t>
            </w:r>
            <w:bookmarkEnd w:id="90"/>
          </w:p>
          <w:p>
            <w:pPr>
              <w:ind w:firstLine="480" w:firstLineChars="200"/>
              <w:rPr>
                <w:rFonts w:ascii="Times New Roman" w:hAnsi="Times New Roman" w:cs="Times New Roman"/>
              </w:rPr>
            </w:pPr>
            <w:r>
              <w:rPr>
                <w:rFonts w:hint="eastAsia" w:ascii="Times New Roman" w:hAnsi="Times New Roman" w:cs="Times New Roman"/>
                <w:szCs w:val="24"/>
              </w:rPr>
              <w:t>在接通污水处理厂之前：</w:t>
            </w:r>
            <w:r>
              <w:rPr>
                <w:rFonts w:hint="eastAsia" w:ascii="Times New Roman" w:hAnsi="Times New Roman" w:cs="Times New Roman"/>
              </w:rPr>
              <w:t>木里港学校的污水经自建的污水处理站处理，处理达《城镇污水处理厂污染物排放标准》（GB18918-2002）中一级A标准后排入北港河，其总量控制指标为：</w:t>
            </w:r>
            <w:r>
              <w:rPr>
                <w:rFonts w:ascii="Times New Roman" w:hAnsi="Times New Roman" w:cs="Times New Roman"/>
              </w:rPr>
              <w:t>CODcr：2.13678t/a</w:t>
            </w:r>
            <w:r>
              <w:rPr>
                <w:rFonts w:hint="eastAsia" w:ascii="Times New Roman" w:hAnsi="Times New Roman" w:cs="Times New Roman"/>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-N</w:t>
            </w:r>
            <w:r>
              <w:rPr>
                <w:rFonts w:hint="eastAsia" w:ascii="Times New Roman" w:hAnsi="Times New Roman" w:cs="Times New Roman"/>
              </w:rPr>
              <w:t>：</w:t>
            </w:r>
            <w:r>
              <w:rPr>
                <w:rFonts w:ascii="Times New Roman" w:hAnsi="Times New Roman" w:cs="Times New Roman"/>
              </w:rPr>
              <w:t>0.1877t/a</w:t>
            </w:r>
            <w:r>
              <w:rPr>
                <w:rFonts w:hint="eastAsia" w:ascii="Times New Roman" w:hAnsi="Times New Roman" w:cs="Times New Roman"/>
              </w:rPr>
              <w:t>。</w:t>
            </w:r>
          </w:p>
          <w:p>
            <w:pPr>
              <w:ind w:firstLine="480" w:firstLineChars="200"/>
            </w:pPr>
            <w:r>
              <w:rPr>
                <w:rFonts w:hint="eastAsia" w:ascii="Times New Roman" w:hAnsi="Times New Roman" w:cs="Times New Roman"/>
              </w:rPr>
              <w:t>在接通污水处理厂之后：木里港学校的污水排至罗家坡污水处理厂处理，出水水质达《城镇污水处理厂污染物排放标准》（GB18918-2002）中一级A标准后排入北港河，其总量控制指标为：</w:t>
            </w:r>
            <w:r>
              <w:rPr>
                <w:rFonts w:ascii="Times New Roman" w:hAnsi="Times New Roman" w:cs="Times New Roman"/>
              </w:rPr>
              <w:t>CODcr：2.229t/a</w:t>
            </w:r>
            <w:r>
              <w:rPr>
                <w:rFonts w:hint="eastAsia" w:ascii="Times New Roman" w:hAnsi="Times New Roman" w:cs="Times New Roman"/>
              </w:rPr>
              <w:t>、</w:t>
            </w:r>
            <w:r>
              <w:rPr>
                <w:rFonts w:ascii="Times New Roman" w:hAnsi="Times New Roman" w:cs="Times New Roman"/>
              </w:rPr>
              <w:t>NH</w:t>
            </w:r>
            <w:r>
              <w:rPr>
                <w:rFonts w:ascii="Times New Roman" w:hAnsi="Times New Roman" w:cs="Times New Roman"/>
                <w:vertAlign w:val="subscript"/>
              </w:rPr>
              <w:t>3</w:t>
            </w:r>
            <w:r>
              <w:rPr>
                <w:rFonts w:ascii="Times New Roman" w:hAnsi="Times New Roman" w:cs="Times New Roman"/>
              </w:rPr>
              <w:t>-N</w:t>
            </w:r>
            <w:r>
              <w:rPr>
                <w:rFonts w:hint="eastAsia" w:ascii="Times New Roman" w:hAnsi="Times New Roman" w:cs="Times New Roman"/>
              </w:rPr>
              <w:t>：</w:t>
            </w:r>
            <w:r>
              <w:rPr>
                <w:rFonts w:ascii="Times New Roman" w:hAnsi="Times New Roman" w:cs="Times New Roman"/>
              </w:rPr>
              <w:t>0.2282t/a</w:t>
            </w:r>
            <w:r>
              <w:rPr>
                <w:rFonts w:hint="eastAsia" w:ascii="Times New Roman" w:hAnsi="Times New Roman" w:cs="Times New Roman"/>
              </w:rPr>
              <w:t>。</w:t>
            </w:r>
          </w:p>
          <w:p>
            <w:pPr>
              <w:pStyle w:val="6"/>
              <w:ind w:firstLine="482"/>
              <w:outlineLvl w:val="2"/>
              <w:rPr>
                <w:u w:val="single"/>
              </w:rPr>
            </w:pPr>
            <w:bookmarkStart w:id="91" w:name="_Toc34059558"/>
            <w:r>
              <w:rPr>
                <w:rFonts w:hint="eastAsia"/>
                <w:u w:val="single"/>
              </w:rPr>
              <w:t>2.1</w:t>
            </w:r>
            <w:r>
              <w:rPr>
                <w:u w:val="single"/>
              </w:rPr>
              <w:t>4</w:t>
            </w:r>
            <w:r>
              <w:rPr>
                <w:rFonts w:hint="eastAsia"/>
                <w:u w:val="single"/>
              </w:rPr>
              <w:t>环保投资估算及竣工验收</w:t>
            </w:r>
            <w:bookmarkEnd w:id="91"/>
          </w:p>
          <w:p>
            <w:pPr>
              <w:pStyle w:val="36"/>
              <w:spacing w:line="360" w:lineRule="auto"/>
              <w:ind w:firstLine="480" w:firstLineChars="200"/>
              <w:rPr>
                <w:rFonts w:ascii="Times New Roman" w:hAnsi="Times New Roman" w:cs="Times New Roman"/>
                <w:u w:val="single"/>
              </w:rPr>
            </w:pPr>
            <w:r>
              <w:rPr>
                <w:rFonts w:ascii="Times New Roman" w:hAnsi="Times New Roman" w:cs="Times New Roman"/>
                <w:u w:val="single"/>
              </w:rPr>
              <w:t>该工程总投资约</w:t>
            </w:r>
            <w:r>
              <w:rPr>
                <w:rFonts w:ascii="Times New Roman" w:hAnsi="Times New Roman" w:cs="Times New Roman"/>
                <w:kern w:val="24"/>
                <w:u w:val="single"/>
              </w:rPr>
              <w:t>8000</w:t>
            </w:r>
            <w:r>
              <w:rPr>
                <w:rFonts w:ascii="Times New Roman" w:hAnsi="Times New Roman" w:cs="Times New Roman"/>
                <w:u w:val="single"/>
              </w:rPr>
              <w:t>万元，其中环保约1055.35万，环保投资约占工程总投资的13.2%，环保建设内容如表7-29示。</w:t>
            </w:r>
          </w:p>
          <w:p>
            <w:pPr>
              <w:pStyle w:val="32"/>
              <w:adjustRightInd/>
              <w:snapToGrid/>
              <w:spacing w:line="360" w:lineRule="auto"/>
              <w:ind w:firstLine="0" w:firstLineChars="0"/>
              <w:jc w:val="center"/>
              <w:rPr>
                <w:rFonts w:ascii="Times New Roman" w:hAnsi="Times New Roman" w:cs="Times New Roman"/>
                <w:b/>
                <w:kern w:val="0"/>
                <w:szCs w:val="24"/>
                <w:u w:val="single"/>
              </w:rPr>
            </w:pPr>
            <w:r>
              <w:rPr>
                <w:rFonts w:ascii="Times New Roman" w:hAnsi="Times New Roman" w:cs="Times New Roman"/>
                <w:b/>
                <w:kern w:val="0"/>
                <w:szCs w:val="24"/>
                <w:u w:val="single"/>
              </w:rPr>
              <w:t>表7-29  项目环保投资估算一览表    （单位：万元）</w:t>
            </w:r>
          </w:p>
          <w:tbl>
            <w:tblPr>
              <w:tblStyle w:val="23"/>
              <w:tblW w:w="4998" w:type="pct"/>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0" w:type="dxa"/>
                <w:bottom w:w="0" w:type="dxa"/>
                <w:right w:w="0" w:type="dxa"/>
              </w:tblCellMar>
            </w:tblPr>
            <w:tblGrid>
              <w:gridCol w:w="607"/>
              <w:gridCol w:w="1321"/>
              <w:gridCol w:w="1321"/>
              <w:gridCol w:w="1692"/>
              <w:gridCol w:w="1696"/>
              <w:gridCol w:w="1227"/>
              <w:gridCol w:w="1373"/>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bottom w:val="single" w:color="000000" w:sz="12" w:space="0"/>
                  </w:tcBorders>
                  <w:tcMar>
                    <w:left w:w="108" w:type="dxa"/>
                    <w:right w:w="108" w:type="dxa"/>
                  </w:tcMar>
                  <w:vAlign w:val="center"/>
                </w:tcPr>
                <w:p>
                  <w:pPr>
                    <w:widowControl/>
                    <w:spacing w:line="240" w:lineRule="auto"/>
                    <w:jc w:val="center"/>
                    <w:rPr>
                      <w:rFonts w:ascii="Times New Roman" w:hAnsi="Times New Roman" w:cs="Times New Roman"/>
                      <w:b/>
                      <w:bCs/>
                      <w:sz w:val="21"/>
                      <w:szCs w:val="21"/>
                      <w:u w:val="single"/>
                    </w:rPr>
                  </w:pPr>
                  <w:r>
                    <w:rPr>
                      <w:rFonts w:ascii="Times New Roman" w:hAnsi="Times New Roman" w:cs="Times New Roman"/>
                      <w:b/>
                      <w:bCs/>
                      <w:kern w:val="0"/>
                      <w:sz w:val="21"/>
                      <w:szCs w:val="21"/>
                      <w:u w:val="single"/>
                      <w:lang w:bidi="ar"/>
                    </w:rPr>
                    <w:t>序号</w:t>
                  </w:r>
                </w:p>
              </w:tc>
              <w:tc>
                <w:tcPr>
                  <w:tcW w:w="1430" w:type="pct"/>
                  <w:gridSpan w:val="2"/>
                  <w:tcBorders>
                    <w:bottom w:val="single" w:color="000000" w:sz="12" w:space="0"/>
                  </w:tcBorders>
                  <w:tcMar>
                    <w:left w:w="108" w:type="dxa"/>
                    <w:right w:w="108" w:type="dxa"/>
                  </w:tcMar>
                  <w:vAlign w:val="center"/>
                </w:tcPr>
                <w:p>
                  <w:pPr>
                    <w:widowControl/>
                    <w:spacing w:line="240" w:lineRule="auto"/>
                    <w:jc w:val="center"/>
                    <w:rPr>
                      <w:rFonts w:ascii="Times New Roman" w:hAnsi="Times New Roman" w:cs="Times New Roman"/>
                      <w:b/>
                      <w:bCs/>
                      <w:sz w:val="21"/>
                      <w:szCs w:val="21"/>
                      <w:u w:val="single"/>
                    </w:rPr>
                  </w:pPr>
                  <w:r>
                    <w:rPr>
                      <w:rFonts w:ascii="Times New Roman" w:hAnsi="Times New Roman" w:cs="Times New Roman"/>
                      <w:b/>
                      <w:bCs/>
                      <w:kern w:val="0"/>
                      <w:sz w:val="21"/>
                      <w:szCs w:val="21"/>
                      <w:u w:val="single"/>
                      <w:lang w:bidi="ar"/>
                    </w:rPr>
                    <w:t>类别</w:t>
                  </w:r>
                </w:p>
              </w:tc>
              <w:tc>
                <w:tcPr>
                  <w:tcW w:w="1834" w:type="pct"/>
                  <w:gridSpan w:val="2"/>
                  <w:tcBorders>
                    <w:bottom w:val="single" w:color="000000" w:sz="12" w:space="0"/>
                  </w:tcBorders>
                  <w:tcMar>
                    <w:left w:w="108" w:type="dxa"/>
                    <w:right w:w="108" w:type="dxa"/>
                  </w:tcMar>
                  <w:vAlign w:val="center"/>
                </w:tcPr>
                <w:p>
                  <w:pPr>
                    <w:widowControl/>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治理措施</w:t>
                  </w:r>
                </w:p>
              </w:tc>
              <w:tc>
                <w:tcPr>
                  <w:tcW w:w="664" w:type="pct"/>
                  <w:tcBorders>
                    <w:bottom w:val="single" w:color="000000" w:sz="12" w:space="0"/>
                  </w:tcBorders>
                  <w:tcMar>
                    <w:left w:w="108" w:type="dxa"/>
                    <w:right w:w="108" w:type="dxa"/>
                  </w:tcMar>
                  <w:vAlign w:val="center"/>
                </w:tcPr>
                <w:p>
                  <w:pPr>
                    <w:widowControl/>
                    <w:spacing w:line="240" w:lineRule="auto"/>
                    <w:jc w:val="center"/>
                    <w:rPr>
                      <w:rFonts w:ascii="Times New Roman" w:hAnsi="Times New Roman" w:cs="Times New Roman"/>
                      <w:b/>
                      <w:bCs/>
                      <w:sz w:val="21"/>
                      <w:szCs w:val="21"/>
                      <w:u w:val="single"/>
                    </w:rPr>
                  </w:pPr>
                  <w:r>
                    <w:rPr>
                      <w:rFonts w:ascii="Times New Roman" w:hAnsi="Times New Roman" w:cs="Times New Roman"/>
                      <w:b/>
                      <w:bCs/>
                      <w:kern w:val="0"/>
                      <w:sz w:val="21"/>
                      <w:szCs w:val="21"/>
                      <w:u w:val="single"/>
                      <w:lang w:bidi="ar"/>
                    </w:rPr>
                    <w:t>投资费用（万元）</w:t>
                  </w:r>
                </w:p>
              </w:tc>
              <w:tc>
                <w:tcPr>
                  <w:tcW w:w="743" w:type="pct"/>
                  <w:tcBorders>
                    <w:bottom w:val="single" w:color="000000" w:sz="12" w:space="0"/>
                  </w:tcBorders>
                  <w:tcMar>
                    <w:left w:w="108" w:type="dxa"/>
                    <w:right w:w="108" w:type="dxa"/>
                  </w:tcMar>
                  <w:vAlign w:val="center"/>
                </w:tcPr>
                <w:p>
                  <w:pPr>
                    <w:widowControl/>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备注</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op w:val="single" w:color="000000" w:sz="12" w:space="0"/>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w:t>
                  </w:r>
                </w:p>
              </w:tc>
              <w:tc>
                <w:tcPr>
                  <w:tcW w:w="715" w:type="pct"/>
                  <w:vMerge w:val="restart"/>
                  <w:tcBorders>
                    <w:top w:val="single" w:color="000000" w:sz="12" w:space="0"/>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施工期</w:t>
                  </w:r>
                </w:p>
              </w:tc>
              <w:tc>
                <w:tcPr>
                  <w:tcW w:w="715" w:type="pct"/>
                  <w:tcBorders>
                    <w:top w:val="single" w:color="000000" w:sz="12" w:space="0"/>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废气防治工程</w:t>
                  </w:r>
                </w:p>
              </w:tc>
              <w:tc>
                <w:tcPr>
                  <w:tcW w:w="1834" w:type="pct"/>
                  <w:gridSpan w:val="2"/>
                  <w:tcBorders>
                    <w:top w:val="single" w:color="000000" w:sz="12" w:space="0"/>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①场地周边修建2.5m高围墙；②运输车辆进出口设置车辆冲洗装置；③主体建筑周围搭建防尘网；④材料覆盖防尘布；⑤路面水泥硬化、洒水</w:t>
                  </w:r>
                </w:p>
              </w:tc>
              <w:tc>
                <w:tcPr>
                  <w:tcW w:w="664" w:type="pct"/>
                  <w:tcBorders>
                    <w:top w:val="single" w:color="000000" w:sz="12" w:space="0"/>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35</w:t>
                  </w:r>
                </w:p>
              </w:tc>
              <w:tc>
                <w:tcPr>
                  <w:tcW w:w="743" w:type="pct"/>
                  <w:tcBorders>
                    <w:top w:val="single" w:color="000000" w:sz="12" w:space="0"/>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2</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废水防治工程</w:t>
                  </w:r>
                </w:p>
              </w:tc>
              <w:tc>
                <w:tcPr>
                  <w:tcW w:w="1834" w:type="pct"/>
                  <w:gridSpan w:val="2"/>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化粪池、截水沟、沉淀池等</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3</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噪声防治工程</w:t>
                  </w:r>
                </w:p>
              </w:tc>
              <w:tc>
                <w:tcPr>
                  <w:tcW w:w="1834" w:type="pct"/>
                  <w:gridSpan w:val="2"/>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场地周边修建2-3m高围墙，高噪声设备搭建临时隔声屏障，合理安排施工时间等</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4</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固废防治工程</w:t>
                  </w:r>
                </w:p>
              </w:tc>
              <w:tc>
                <w:tcPr>
                  <w:tcW w:w="1834" w:type="pct"/>
                  <w:gridSpan w:val="2"/>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卫生填埋、指定堆置点等</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5</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水土流失防治工程</w:t>
                  </w:r>
                </w:p>
              </w:tc>
              <w:tc>
                <w:tcPr>
                  <w:tcW w:w="1834" w:type="pct"/>
                  <w:gridSpan w:val="2"/>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污水管网、绿化等</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6</w:t>
                  </w:r>
                </w:p>
              </w:tc>
              <w:tc>
                <w:tcPr>
                  <w:tcW w:w="715" w:type="pct"/>
                  <w:vMerge w:val="restar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运营期</w:t>
                  </w:r>
                </w:p>
              </w:tc>
              <w:tc>
                <w:tcPr>
                  <w:tcW w:w="715" w:type="pct"/>
                  <w:vMerge w:val="restar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废气处理工程</w:t>
                  </w: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地下</w:t>
                  </w:r>
                  <w:r>
                    <w:rPr>
                      <w:rFonts w:hint="eastAsia" w:ascii="Times New Roman" w:hAnsi="Times New Roman" w:cs="Times New Roman"/>
                      <w:sz w:val="21"/>
                      <w:szCs w:val="21"/>
                      <w:u w:val="single"/>
                    </w:rPr>
                    <w:t>车库废气</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地下室机械排风系统</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7</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实验室</w:t>
                  </w:r>
                  <w:r>
                    <w:rPr>
                      <w:rFonts w:hint="eastAsia" w:ascii="Times New Roman" w:hAnsi="Times New Roman" w:cs="Times New Roman"/>
                      <w:sz w:val="21"/>
                      <w:szCs w:val="21"/>
                      <w:u w:val="single"/>
                    </w:rPr>
                    <w:t>废气</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通风橱集中于一根专用烟道后由屋顶高空排放</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8</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食堂</w:t>
                  </w:r>
                  <w:r>
                    <w:rPr>
                      <w:rFonts w:hint="eastAsia" w:ascii="Times New Roman" w:hAnsi="Times New Roman" w:cs="Times New Roman"/>
                      <w:sz w:val="21"/>
                      <w:szCs w:val="21"/>
                      <w:u w:val="single"/>
                    </w:rPr>
                    <w:t>油烟</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高效油烟净化器+排烟竖井</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15</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处理</w:t>
                  </w:r>
                  <w:r>
                    <w:rPr>
                      <w:rFonts w:hint="eastAsia" w:ascii="Times New Roman" w:hAnsi="Times New Roman" w:cs="Times New Roman"/>
                      <w:sz w:val="21"/>
                      <w:szCs w:val="21"/>
                      <w:u w:val="single"/>
                    </w:rPr>
                    <w:t>油烟</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9</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rPr>
                      <w:rFonts w:ascii="Times New Roman" w:hAnsi="Times New Roman" w:cs="Times New Roman"/>
                      <w:sz w:val="21"/>
                      <w:szCs w:val="21"/>
                      <w:u w:val="single"/>
                    </w:rPr>
                  </w:pPr>
                  <w:r>
                    <w:rPr>
                      <w:rFonts w:hint="eastAsia" w:ascii="Times New Roman" w:hAnsi="Times New Roman" w:cs="Times New Roman"/>
                      <w:sz w:val="21"/>
                      <w:szCs w:val="21"/>
                      <w:u w:val="single"/>
                    </w:rPr>
                    <w:t>污水处理站臭气</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hint="eastAsia" w:ascii="Times New Roman" w:hAnsi="Times New Roman" w:cs="Times New Roman"/>
                      <w:sz w:val="21"/>
                      <w:szCs w:val="21"/>
                      <w:u w:val="single"/>
                    </w:rPr>
                    <w:t>投加除臭剂、</w:t>
                  </w:r>
                  <w:r>
                    <w:rPr>
                      <w:rFonts w:ascii="Times New Roman" w:hAnsi="Times New Roman" w:cs="Times New Roman"/>
                      <w:sz w:val="21"/>
                      <w:szCs w:val="21"/>
                      <w:u w:val="single"/>
                    </w:rPr>
                    <w:t>周边绿化</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10</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restar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废水处理工程</w:t>
                  </w: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生活污水、物理实验室废水</w:t>
                  </w:r>
                </w:p>
              </w:tc>
              <w:tc>
                <w:tcPr>
                  <w:tcW w:w="918"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化粪池</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拟设计化粪池处理能力约为</w:t>
                  </w:r>
                  <w:r>
                    <w:rPr>
                      <w:rFonts w:ascii="Times New Roman" w:hAnsi="Times New Roman" w:cs="Times New Roman"/>
                      <w:szCs w:val="24"/>
                      <w:u w:val="single"/>
                    </w:rPr>
                    <w:t>300t/d</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11</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食堂废水</w:t>
                  </w:r>
                </w:p>
              </w:tc>
              <w:tc>
                <w:tcPr>
                  <w:tcW w:w="918"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隔油沉淀池</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拟设计处理能力</w:t>
                  </w:r>
                  <w:r>
                    <w:rPr>
                      <w:rFonts w:ascii="Times New Roman" w:hAnsi="Times New Roman" w:cs="Times New Roman"/>
                      <w:szCs w:val="24"/>
                      <w:u w:val="single"/>
                    </w:rPr>
                    <w:t>约为85t/d</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12</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化学实验室废水</w:t>
                  </w:r>
                </w:p>
              </w:tc>
              <w:tc>
                <w:tcPr>
                  <w:tcW w:w="918"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化学实验室污水处理设施</w:t>
                  </w:r>
                  <w:r>
                    <w:rPr>
                      <w:rFonts w:hint="eastAsia" w:ascii="Times New Roman" w:hAnsi="Times New Roman" w:cs="Times New Roman"/>
                      <w:sz w:val="21"/>
                      <w:szCs w:val="21"/>
                      <w:u w:val="single"/>
                    </w:rPr>
                    <w:t>+中和沉淀池</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10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拟设计处理能力</w:t>
                  </w:r>
                  <w:r>
                    <w:rPr>
                      <w:rFonts w:ascii="Times New Roman" w:hAnsi="Times New Roman" w:cs="Times New Roman"/>
                      <w:szCs w:val="24"/>
                      <w:u w:val="single"/>
                    </w:rPr>
                    <w:t>约为4t/d</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13</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生物实验室废水</w:t>
                  </w:r>
                </w:p>
              </w:tc>
              <w:tc>
                <w:tcPr>
                  <w:tcW w:w="918"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消毒沉淀池</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拟设计处理能力</w:t>
                  </w:r>
                  <w:r>
                    <w:rPr>
                      <w:rFonts w:ascii="Times New Roman" w:hAnsi="Times New Roman" w:cs="Times New Roman"/>
                      <w:szCs w:val="24"/>
                      <w:u w:val="single"/>
                    </w:rPr>
                    <w:t>约为2t/d</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hint="eastAsia" w:ascii="Times New Roman" w:hAnsi="Times New Roman" w:cs="Times New Roman"/>
                      <w:sz w:val="21"/>
                      <w:szCs w:val="21"/>
                      <w:u w:val="single"/>
                    </w:rPr>
                    <w:t>综合废水</w:t>
                  </w:r>
                </w:p>
              </w:tc>
              <w:tc>
                <w:tcPr>
                  <w:tcW w:w="918"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hint="eastAsia" w:ascii="Times New Roman" w:hAnsi="Times New Roman" w:cs="Times New Roman"/>
                      <w:sz w:val="21"/>
                      <w:szCs w:val="21"/>
                      <w:u w:val="single"/>
                    </w:rPr>
                    <w:t>化粪池+污水处理站（M</w:t>
                  </w:r>
                  <w:r>
                    <w:rPr>
                      <w:rFonts w:ascii="Times New Roman" w:hAnsi="Times New Roman" w:cs="Times New Roman"/>
                      <w:sz w:val="21"/>
                      <w:szCs w:val="21"/>
                      <w:u w:val="single"/>
                    </w:rPr>
                    <w:t>BR</w:t>
                  </w:r>
                  <w:r>
                    <w:rPr>
                      <w:rFonts w:hint="eastAsia" w:ascii="Times New Roman" w:hAnsi="Times New Roman" w:cs="Times New Roman"/>
                      <w:sz w:val="21"/>
                      <w:szCs w:val="21"/>
                      <w:u w:val="single"/>
                    </w:rPr>
                    <w:t>）</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hint="eastAsia" w:ascii="Times New Roman" w:hAnsi="Times New Roman" w:cs="Times New Roman"/>
                      <w:sz w:val="21"/>
                      <w:szCs w:val="21"/>
                      <w:u w:val="single"/>
                    </w:rPr>
                    <w:t>3</w:t>
                  </w:r>
                  <w:r>
                    <w:rPr>
                      <w:rFonts w:ascii="Times New Roman" w:hAnsi="Times New Roman" w:cs="Times New Roman"/>
                      <w:sz w:val="21"/>
                      <w:szCs w:val="21"/>
                      <w:u w:val="single"/>
                    </w:rPr>
                    <w:t>00</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r>
                    <w:rPr>
                      <w:rFonts w:hint="eastAsia" w:ascii="Times New Roman" w:hAnsi="Times New Roman" w:cs="Times New Roman"/>
                      <w:sz w:val="21"/>
                      <w:szCs w:val="21"/>
                      <w:u w:val="single"/>
                    </w:rPr>
                    <w:t>与生活污水、物理实验室废水进入同一化粪池</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14</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restar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固废处理工程</w:t>
                  </w: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生活垃圾</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垃圾收集桶、垃</w:t>
                  </w:r>
                  <w:r>
                    <w:rPr>
                      <w:rFonts w:hint="eastAsia" w:ascii="Times New Roman" w:hAnsi="Times New Roman" w:cs="Times New Roman"/>
                      <w:sz w:val="21"/>
                      <w:szCs w:val="21"/>
                      <w:u w:val="single"/>
                    </w:rPr>
                    <w:t>站</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3</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tcMar>
                    <w:left w:w="108" w:type="dxa"/>
                    <w:right w:w="108" w:type="dxa"/>
                  </w:tcMar>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15</w:t>
                  </w:r>
                </w:p>
              </w:tc>
              <w:tc>
                <w:tcPr>
                  <w:tcW w:w="715" w:type="pct"/>
                  <w:vMerge w:val="continue"/>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hint="eastAsia" w:ascii="Times New Roman" w:hAnsi="Times New Roman" w:cs="Times New Roman"/>
                      <w:sz w:val="21"/>
                      <w:szCs w:val="21"/>
                      <w:u w:val="single"/>
                    </w:rPr>
                    <w:t>餐厨垃圾</w:t>
                  </w:r>
                </w:p>
              </w:tc>
              <w:tc>
                <w:tcPr>
                  <w:tcW w:w="918" w:type="pct"/>
                  <w:tcBorders>
                    <w:tl2br w:val="nil"/>
                    <w:tr2bl w:val="nil"/>
                  </w:tcBorders>
                  <w:tcMar>
                    <w:left w:w="108" w:type="dxa"/>
                    <w:right w:w="108" w:type="dxa"/>
                  </w:tcMar>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餐余垃圾收集桶</w:t>
                  </w:r>
                </w:p>
              </w:tc>
              <w:tc>
                <w:tcPr>
                  <w:tcW w:w="664" w:type="pct"/>
                  <w:tcBorders>
                    <w:tl2br w:val="nil"/>
                    <w:tr2bl w:val="nil"/>
                  </w:tcBorders>
                  <w:tcMar>
                    <w:left w:w="108" w:type="dxa"/>
                    <w:right w:w="108" w:type="dxa"/>
                  </w:tcMar>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1</w:t>
                  </w:r>
                </w:p>
              </w:tc>
              <w:tc>
                <w:tcPr>
                  <w:tcW w:w="743" w:type="pct"/>
                  <w:tcBorders>
                    <w:tl2br w:val="nil"/>
                    <w:tr2bl w:val="nil"/>
                  </w:tcBorders>
                  <w:tcMar>
                    <w:left w:w="108" w:type="dxa"/>
                    <w:right w:w="108" w:type="dxa"/>
                  </w:tcMar>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564" w:hRule="atLeast"/>
                <w:jc w:val="center"/>
              </w:trPr>
              <w:tc>
                <w:tcPr>
                  <w:tcW w:w="329"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16</w:t>
                  </w:r>
                </w:p>
              </w:tc>
              <w:tc>
                <w:tcPr>
                  <w:tcW w:w="715"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vAlign w:val="center"/>
                </w:tcPr>
                <w:p>
                  <w:pPr>
                    <w:spacing w:line="240" w:lineRule="auto"/>
                    <w:jc w:val="center"/>
                    <w:rPr>
                      <w:rFonts w:ascii="Times New Roman" w:hAnsi="Times New Roman" w:eastAsia="宋体" w:cs="Times New Roman"/>
                      <w:sz w:val="21"/>
                      <w:szCs w:val="21"/>
                      <w:u w:val="single"/>
                    </w:rPr>
                  </w:pPr>
                  <w:r>
                    <w:rPr>
                      <w:rFonts w:ascii="Times New Roman" w:hAnsi="Times New Roman" w:cs="Times New Roman"/>
                      <w:sz w:val="21"/>
                      <w:szCs w:val="21"/>
                      <w:u w:val="single"/>
                    </w:rPr>
                    <w:t>实验室、医疗室</w:t>
                  </w:r>
                  <w:r>
                    <w:rPr>
                      <w:rFonts w:hint="eastAsia" w:ascii="Times New Roman" w:hAnsi="Times New Roman" w:cs="Times New Roman"/>
                      <w:sz w:val="21"/>
                      <w:szCs w:val="21"/>
                      <w:u w:val="single"/>
                    </w:rPr>
                    <w:t>废物</w:t>
                  </w:r>
                </w:p>
              </w:tc>
              <w:tc>
                <w:tcPr>
                  <w:tcW w:w="918" w:type="pct"/>
                  <w:vMerge w:val="restar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分类收集，按要求对危废进行收集，然后按要求建设</w:t>
                  </w:r>
                  <w:r>
                    <w:rPr>
                      <w:rFonts w:hint="eastAsia" w:ascii="Times New Roman" w:hAnsi="Times New Roman" w:cs="Times New Roman"/>
                      <w:sz w:val="21"/>
                      <w:szCs w:val="21"/>
                      <w:u w:val="single"/>
                    </w:rPr>
                    <w:t>危废暂存间</w:t>
                  </w:r>
                </w:p>
              </w:tc>
              <w:tc>
                <w:tcPr>
                  <w:tcW w:w="664" w:type="pct"/>
                  <w:vMerge w:val="restar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w:t>
                  </w:r>
                </w:p>
              </w:tc>
              <w:tc>
                <w:tcPr>
                  <w:tcW w:w="743" w:type="pct"/>
                  <w:tcBorders>
                    <w:tl2br w:val="nil"/>
                    <w:tr2bl w:val="nil"/>
                  </w:tcBorders>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17</w:t>
                  </w:r>
                </w:p>
              </w:tc>
              <w:tc>
                <w:tcPr>
                  <w:tcW w:w="715"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vMerge w:val="continue"/>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p>
              </w:tc>
              <w:tc>
                <w:tcPr>
                  <w:tcW w:w="91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hint="eastAsia" w:ascii="Times New Roman" w:hAnsi="Times New Roman" w:cs="Times New Roman"/>
                      <w:sz w:val="21"/>
                      <w:szCs w:val="21"/>
                      <w:u w:val="single"/>
                    </w:rPr>
                    <w:t>污水处理站</w:t>
                  </w:r>
                  <w:r>
                    <w:rPr>
                      <w:rFonts w:ascii="Times New Roman" w:hAnsi="Times New Roman" w:cs="Times New Roman"/>
                      <w:sz w:val="21"/>
                      <w:szCs w:val="21"/>
                      <w:u w:val="single"/>
                    </w:rPr>
                    <w:t>污泥</w:t>
                  </w:r>
                </w:p>
              </w:tc>
              <w:tc>
                <w:tcPr>
                  <w:tcW w:w="918" w:type="pct"/>
                  <w:vMerge w:val="continue"/>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p>
              </w:tc>
              <w:tc>
                <w:tcPr>
                  <w:tcW w:w="664" w:type="pct"/>
                  <w:vMerge w:val="continue"/>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p>
              </w:tc>
              <w:tc>
                <w:tcPr>
                  <w:tcW w:w="743" w:type="pct"/>
                  <w:tcBorders>
                    <w:tl2br w:val="nil"/>
                    <w:tr2bl w:val="nil"/>
                  </w:tcBorders>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cs="Times New Roman"/>
                      <w:kern w:val="0"/>
                      <w:sz w:val="21"/>
                      <w:szCs w:val="21"/>
                      <w:u w:val="single"/>
                      <w:lang w:bidi="ar"/>
                    </w:rPr>
                    <w:t>18</w:t>
                  </w:r>
                </w:p>
              </w:tc>
              <w:tc>
                <w:tcPr>
                  <w:tcW w:w="715"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u w:val="single"/>
                      <w:lang w:bidi="ar"/>
                    </w:rPr>
                  </w:pPr>
                </w:p>
              </w:tc>
              <w:tc>
                <w:tcPr>
                  <w:tcW w:w="715" w:type="pc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噪声防治工程</w:t>
                  </w:r>
                </w:p>
              </w:tc>
              <w:tc>
                <w:tcPr>
                  <w:tcW w:w="916"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主要设备房、临路一侧</w:t>
                  </w:r>
                </w:p>
              </w:tc>
              <w:tc>
                <w:tcPr>
                  <w:tcW w:w="918" w:type="pct"/>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吸声、隔声、绿化</w:t>
                  </w:r>
                </w:p>
              </w:tc>
              <w:tc>
                <w:tcPr>
                  <w:tcW w:w="664" w:type="pc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20</w:t>
                  </w:r>
                </w:p>
              </w:tc>
              <w:tc>
                <w:tcPr>
                  <w:tcW w:w="743" w:type="pct"/>
                  <w:tcBorders>
                    <w:tl2br w:val="nil"/>
                    <w:tr2bl w:val="nil"/>
                  </w:tcBorders>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eastAsia="宋体" w:cs="Times New Roman"/>
                      <w:kern w:val="0"/>
                      <w:sz w:val="21"/>
                      <w:szCs w:val="21"/>
                      <w:u w:val="single"/>
                      <w:lang w:bidi="ar"/>
                    </w:rPr>
                    <w:t>19</w:t>
                  </w:r>
                </w:p>
              </w:tc>
              <w:tc>
                <w:tcPr>
                  <w:tcW w:w="715"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p>
              </w:tc>
              <w:tc>
                <w:tcPr>
                  <w:tcW w:w="715" w:type="pc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kern w:val="0"/>
                      <w:sz w:val="21"/>
                      <w:szCs w:val="21"/>
                      <w:u w:val="single"/>
                      <w:lang w:bidi="ar"/>
                    </w:rPr>
                    <w:t>绿化工程</w:t>
                  </w:r>
                </w:p>
              </w:tc>
              <w:tc>
                <w:tcPr>
                  <w:tcW w:w="1834" w:type="pct"/>
                  <w:gridSpan w:val="2"/>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校区内绿化、植被恢复</w:t>
                  </w:r>
                </w:p>
              </w:tc>
              <w:tc>
                <w:tcPr>
                  <w:tcW w:w="664" w:type="pc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505</w:t>
                  </w:r>
                </w:p>
              </w:tc>
              <w:tc>
                <w:tcPr>
                  <w:tcW w:w="743" w:type="pct"/>
                  <w:tcBorders>
                    <w:tl2br w:val="nil"/>
                    <w:tr2bl w:val="nil"/>
                  </w:tcBorders>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29"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r>
                    <w:rPr>
                      <w:rFonts w:ascii="Times New Roman" w:hAnsi="Times New Roman" w:eastAsia="宋体" w:cs="Times New Roman"/>
                      <w:kern w:val="0"/>
                      <w:sz w:val="21"/>
                      <w:szCs w:val="21"/>
                      <w:u w:val="single"/>
                      <w:lang w:bidi="ar"/>
                    </w:rPr>
                    <w:t>20</w:t>
                  </w:r>
                </w:p>
              </w:tc>
              <w:tc>
                <w:tcPr>
                  <w:tcW w:w="715"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u w:val="single"/>
                      <w:lang w:bidi="ar"/>
                    </w:rPr>
                  </w:pPr>
                </w:p>
              </w:tc>
              <w:tc>
                <w:tcPr>
                  <w:tcW w:w="715"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u w:val="single"/>
                      <w:lang w:bidi="ar"/>
                    </w:rPr>
                  </w:pPr>
                  <w:r>
                    <w:rPr>
                      <w:rFonts w:ascii="Times New Roman" w:hAnsi="Times New Roman" w:cs="Times New Roman"/>
                      <w:kern w:val="0"/>
                      <w:sz w:val="21"/>
                      <w:szCs w:val="21"/>
                      <w:u w:val="single"/>
                      <w:lang w:bidi="ar"/>
                    </w:rPr>
                    <w:t>雨污分流工程</w:t>
                  </w:r>
                </w:p>
              </w:tc>
              <w:tc>
                <w:tcPr>
                  <w:tcW w:w="1834" w:type="pct"/>
                  <w:gridSpan w:val="2"/>
                  <w:tcBorders>
                    <w:tl2br w:val="nil"/>
                    <w:tr2bl w:val="nil"/>
                  </w:tcBorders>
                  <w:vAlign w:val="center"/>
                </w:tcPr>
                <w:p>
                  <w:pPr>
                    <w:spacing w:line="240" w:lineRule="auto"/>
                    <w:jc w:val="center"/>
                    <w:rPr>
                      <w:rFonts w:ascii="Times New Roman" w:hAnsi="Times New Roman" w:cs="Times New Roman"/>
                      <w:sz w:val="21"/>
                      <w:szCs w:val="21"/>
                      <w:u w:val="single"/>
                    </w:rPr>
                  </w:pPr>
                  <w:r>
                    <w:rPr>
                      <w:rFonts w:ascii="Times New Roman" w:hAnsi="Times New Roman" w:cs="Times New Roman"/>
                      <w:sz w:val="21"/>
                      <w:szCs w:val="21"/>
                      <w:u w:val="single"/>
                    </w:rPr>
                    <w:t>雨水管网、污水管网以及配套工程等</w:t>
                  </w:r>
                </w:p>
              </w:tc>
              <w:tc>
                <w:tcPr>
                  <w:tcW w:w="664" w:type="pct"/>
                  <w:tcBorders>
                    <w:tl2br w:val="nil"/>
                    <w:tr2bl w:val="nil"/>
                  </w:tcBorders>
                  <w:vAlign w:val="center"/>
                </w:tcPr>
                <w:p>
                  <w:pPr>
                    <w:pStyle w:val="36"/>
                    <w:spacing w:line="240" w:lineRule="auto"/>
                    <w:ind w:firstLine="0"/>
                    <w:jc w:val="center"/>
                    <w:rPr>
                      <w:rFonts w:ascii="Times New Roman" w:hAnsi="Times New Roman" w:cs="Times New Roman"/>
                      <w:sz w:val="21"/>
                      <w:szCs w:val="21"/>
                      <w:u w:val="single"/>
                    </w:rPr>
                  </w:pPr>
                  <w:r>
                    <w:rPr>
                      <w:rFonts w:ascii="Times New Roman" w:hAnsi="Times New Roman" w:cs="Times New Roman"/>
                      <w:sz w:val="21"/>
                      <w:szCs w:val="21"/>
                      <w:u w:val="single"/>
                    </w:rPr>
                    <w:t>71.35</w:t>
                  </w:r>
                </w:p>
              </w:tc>
              <w:tc>
                <w:tcPr>
                  <w:tcW w:w="743" w:type="pct"/>
                  <w:tcBorders>
                    <w:tl2br w:val="nil"/>
                    <w:tr2bl w:val="nil"/>
                  </w:tcBorders>
                  <w:vAlign w:val="center"/>
                </w:tcPr>
                <w:p>
                  <w:pPr>
                    <w:widowControl/>
                    <w:spacing w:line="240" w:lineRule="auto"/>
                    <w:jc w:val="center"/>
                    <w:rPr>
                      <w:rFonts w:ascii="Times New Roman" w:hAnsi="Times New Roman" w:cs="Times New Roman"/>
                      <w:sz w:val="21"/>
                      <w:szCs w:val="21"/>
                      <w:u w:val="single"/>
                    </w:rPr>
                  </w:pP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23" w:hRule="atLeast"/>
                <w:jc w:val="center"/>
              </w:trPr>
              <w:tc>
                <w:tcPr>
                  <w:tcW w:w="3593" w:type="pct"/>
                  <w:gridSpan w:val="5"/>
                  <w:tcBorders>
                    <w:tl2br w:val="nil"/>
                    <w:tr2bl w:val="nil"/>
                  </w:tcBorders>
                  <w:vAlign w:val="center"/>
                </w:tcPr>
                <w:p>
                  <w:pPr>
                    <w:spacing w:line="240" w:lineRule="auto"/>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合计</w:t>
                  </w:r>
                </w:p>
              </w:tc>
              <w:tc>
                <w:tcPr>
                  <w:tcW w:w="664" w:type="pct"/>
                  <w:tcBorders>
                    <w:tl2br w:val="nil"/>
                    <w:tr2bl w:val="nil"/>
                  </w:tcBorders>
                  <w:vAlign w:val="center"/>
                </w:tcPr>
                <w:p>
                  <w:pPr>
                    <w:pStyle w:val="36"/>
                    <w:spacing w:line="240" w:lineRule="auto"/>
                    <w:ind w:firstLine="0"/>
                    <w:jc w:val="center"/>
                    <w:rPr>
                      <w:rFonts w:ascii="Times New Roman" w:hAnsi="Times New Roman" w:cs="Times New Roman"/>
                      <w:b/>
                      <w:bCs/>
                      <w:sz w:val="21"/>
                      <w:szCs w:val="21"/>
                      <w:u w:val="single"/>
                    </w:rPr>
                  </w:pPr>
                  <w:r>
                    <w:rPr>
                      <w:rFonts w:ascii="Times New Roman" w:hAnsi="Times New Roman" w:cs="Times New Roman"/>
                      <w:b/>
                      <w:bCs/>
                      <w:sz w:val="21"/>
                      <w:szCs w:val="21"/>
                      <w:u w:val="single"/>
                    </w:rPr>
                    <w:t>1055.35</w:t>
                  </w:r>
                </w:p>
              </w:tc>
              <w:tc>
                <w:tcPr>
                  <w:tcW w:w="743" w:type="pct"/>
                  <w:tcBorders>
                    <w:tl2br w:val="nil"/>
                    <w:tr2bl w:val="nil"/>
                  </w:tcBorders>
                  <w:vAlign w:val="center"/>
                </w:tcPr>
                <w:p>
                  <w:pPr>
                    <w:widowControl/>
                    <w:spacing w:line="240" w:lineRule="auto"/>
                    <w:jc w:val="center"/>
                    <w:rPr>
                      <w:rFonts w:ascii="Times New Roman" w:hAnsi="Times New Roman" w:cs="Times New Roman"/>
                      <w:b/>
                      <w:bCs/>
                      <w:sz w:val="21"/>
                      <w:szCs w:val="21"/>
                      <w:u w:val="single"/>
                    </w:rPr>
                  </w:pPr>
                </w:p>
              </w:tc>
            </w:tr>
          </w:tbl>
          <w:p>
            <w:pPr>
              <w:ind w:firstLine="480" w:firstLineChars="200"/>
              <w:rPr>
                <w:rFonts w:ascii="Times New Roman" w:hAnsi="Times New Roman" w:cs="Times New Roman"/>
                <w:szCs w:val="24"/>
              </w:rPr>
            </w:pPr>
            <w:r>
              <w:rPr>
                <w:rFonts w:ascii="Times New Roman" w:hAnsi="Times New Roman" w:cs="Times New Roman"/>
                <w:szCs w:val="24"/>
              </w:rPr>
              <w:t>本项目竣工环境保护验收见下表。</w:t>
            </w:r>
          </w:p>
          <w:p>
            <w:pPr>
              <w:ind w:firstLine="482" w:firstLineChars="200"/>
              <w:jc w:val="center"/>
              <w:rPr>
                <w:rFonts w:ascii="Times New Roman" w:hAnsi="Times New Roman" w:cs="Times New Roman"/>
                <w:b/>
                <w:szCs w:val="24"/>
              </w:rPr>
            </w:pPr>
            <w:r>
              <w:rPr>
                <w:rFonts w:ascii="Times New Roman" w:hAnsi="Times New Roman" w:cs="Times New Roman"/>
                <w:b/>
                <w:szCs w:val="24"/>
              </w:rPr>
              <w:t>表7-30  项目竣工环境保护验收一览表</w:t>
            </w:r>
          </w:p>
          <w:tbl>
            <w:tblPr>
              <w:tblStyle w:val="23"/>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438"/>
              <w:gridCol w:w="694"/>
              <w:gridCol w:w="1097"/>
              <w:gridCol w:w="1358"/>
              <w:gridCol w:w="2911"/>
              <w:gridCol w:w="2737"/>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13" w:type="pct"/>
                  <w:gridSpan w:val="2"/>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污染类型</w:t>
                  </w:r>
                </w:p>
              </w:tc>
              <w:tc>
                <w:tcPr>
                  <w:tcW w:w="594"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排放源</w:t>
                  </w:r>
                </w:p>
              </w:tc>
              <w:tc>
                <w:tcPr>
                  <w:tcW w:w="735"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监测因子</w:t>
                  </w:r>
                </w:p>
              </w:tc>
              <w:tc>
                <w:tcPr>
                  <w:tcW w:w="1576" w:type="pct"/>
                  <w:tcBorders>
                    <w:bottom w:val="single" w:color="000000" w:sz="12" w:space="0"/>
                  </w:tcBorders>
                  <w:vAlign w:val="center"/>
                </w:tcPr>
                <w:p>
                  <w:pPr>
                    <w:pStyle w:val="30"/>
                    <w:adjustRightInd/>
                    <w:spacing w:line="240" w:lineRule="auto"/>
                    <w:rPr>
                      <w:rFonts w:ascii="Times New Roman" w:hAnsi="Times New Roman" w:cs="Times New Roman"/>
                      <w:b/>
                      <w:bCs/>
                      <w:sz w:val="21"/>
                      <w:szCs w:val="21"/>
                    </w:rPr>
                  </w:pPr>
                  <w:r>
                    <w:rPr>
                      <w:rFonts w:ascii="Times New Roman" w:hAnsi="Times New Roman" w:cs="Times New Roman"/>
                      <w:b/>
                      <w:bCs/>
                      <w:kern w:val="2"/>
                      <w:sz w:val="21"/>
                      <w:szCs w:val="21"/>
                    </w:rPr>
                    <w:t>防治措施</w:t>
                  </w:r>
                </w:p>
              </w:tc>
              <w:tc>
                <w:tcPr>
                  <w:tcW w:w="1482" w:type="pct"/>
                  <w:tcBorders>
                    <w:bottom w:val="single" w:color="000000" w:sz="12" w:space="0"/>
                  </w:tcBorders>
                  <w:vAlign w:val="center"/>
                </w:tcPr>
                <w:p>
                  <w:pPr>
                    <w:spacing w:line="240" w:lineRule="auto"/>
                    <w:jc w:val="center"/>
                    <w:rPr>
                      <w:rFonts w:ascii="Times New Roman" w:hAnsi="Times New Roman" w:cs="Times New Roman"/>
                      <w:b/>
                      <w:bCs/>
                      <w:sz w:val="21"/>
                      <w:szCs w:val="21"/>
                    </w:rPr>
                  </w:pPr>
                  <w:r>
                    <w:rPr>
                      <w:rFonts w:ascii="Times New Roman" w:hAnsi="Times New Roman" w:cs="Times New Roman"/>
                      <w:b/>
                      <w:bCs/>
                      <w:sz w:val="21"/>
                      <w:szCs w:val="21"/>
                    </w:rPr>
                    <w:t>验收执行标准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restart"/>
                  <w:tcBorders>
                    <w:top w:val="single" w:color="000000" w:sz="12" w:space="0"/>
                    <w:tl2br w:val="nil"/>
                    <w:tr2bl w:val="nil"/>
                  </w:tcBorders>
                  <w:vAlign w:val="center"/>
                </w:tcPr>
                <w:p>
                  <w:pPr>
                    <w:spacing w:line="240" w:lineRule="auto"/>
                    <w:jc w:val="center"/>
                    <w:rPr>
                      <w:rFonts w:ascii="Times New Roman" w:hAnsi="Times New Roman" w:eastAsia="宋体" w:cs="Times New Roman"/>
                      <w:bCs/>
                      <w:sz w:val="21"/>
                      <w:szCs w:val="21"/>
                    </w:rPr>
                  </w:pPr>
                  <w:r>
                    <w:rPr>
                      <w:rFonts w:ascii="Times New Roman" w:hAnsi="Times New Roman" w:cs="Times New Roman"/>
                      <w:bCs/>
                      <w:sz w:val="21"/>
                      <w:szCs w:val="21"/>
                    </w:rPr>
                    <w:t>施工期</w:t>
                  </w:r>
                </w:p>
              </w:tc>
              <w:tc>
                <w:tcPr>
                  <w:tcW w:w="376" w:type="pct"/>
                  <w:vMerge w:val="restart"/>
                  <w:tcBorders>
                    <w:top w:val="single" w:color="000000" w:sz="12" w:space="0"/>
                    <w:tl2br w:val="nil"/>
                    <w:tr2bl w:val="nil"/>
                  </w:tcBorders>
                  <w:vAlign w:val="center"/>
                </w:tcPr>
                <w:p>
                  <w:pPr>
                    <w:spacing w:line="240" w:lineRule="auto"/>
                    <w:jc w:val="center"/>
                    <w:rPr>
                      <w:rFonts w:ascii="Times New Roman" w:hAnsi="Times New Roman" w:eastAsia="宋体" w:cs="Times New Roman"/>
                      <w:bCs/>
                      <w:sz w:val="21"/>
                      <w:szCs w:val="21"/>
                    </w:rPr>
                  </w:pPr>
                  <w:r>
                    <w:rPr>
                      <w:rFonts w:ascii="Times New Roman" w:hAnsi="Times New Roman" w:cs="Times New Roman"/>
                      <w:bCs/>
                      <w:sz w:val="21"/>
                      <w:szCs w:val="21"/>
                    </w:rPr>
                    <w:t>废气</w:t>
                  </w:r>
                </w:p>
              </w:tc>
              <w:tc>
                <w:tcPr>
                  <w:tcW w:w="594" w:type="pct"/>
                  <w:tcBorders>
                    <w:top w:val="single" w:color="000000" w:sz="12" w:space="0"/>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施工扬尘</w:t>
                  </w:r>
                </w:p>
              </w:tc>
              <w:tc>
                <w:tcPr>
                  <w:tcW w:w="735" w:type="pct"/>
                  <w:tcBorders>
                    <w:top w:val="single" w:color="000000" w:sz="12" w:space="0"/>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TSP、NO</w:t>
                  </w:r>
                  <w:r>
                    <w:rPr>
                      <w:rFonts w:ascii="Times New Roman" w:hAnsi="Times New Roman" w:cs="Times New Roman"/>
                      <w:sz w:val="21"/>
                      <w:szCs w:val="21"/>
                      <w:vertAlign w:val="subscript"/>
                    </w:rPr>
                    <w:t>x</w:t>
                  </w:r>
                </w:p>
              </w:tc>
              <w:tc>
                <w:tcPr>
                  <w:tcW w:w="1576" w:type="pct"/>
                  <w:tcBorders>
                    <w:top w:val="single" w:color="000000" w:sz="12" w:space="0"/>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①场地周边修建2.5m高围墙；②运输车辆进出口设置车辆冲洗装置；③主体建筑周围搭建防尘网；④材料覆盖防尘布；⑤路面水泥硬化、洒水</w:t>
                  </w:r>
                </w:p>
              </w:tc>
              <w:tc>
                <w:tcPr>
                  <w:tcW w:w="1482" w:type="pct"/>
                  <w:tcBorders>
                    <w:top w:val="single" w:color="000000" w:sz="12" w:space="0"/>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达到《大气污染物综合排放标准（GB16297-1996）中的无组织排放浓度监控限值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bCs/>
                      <w:sz w:val="21"/>
                      <w:szCs w:val="21"/>
                    </w:rPr>
                  </w:pPr>
                </w:p>
              </w:tc>
              <w:tc>
                <w:tcPr>
                  <w:tcW w:w="376" w:type="pct"/>
                  <w:vMerge w:val="continue"/>
                  <w:tcBorders>
                    <w:tl2br w:val="nil"/>
                    <w:tr2bl w:val="nil"/>
                  </w:tcBorders>
                  <w:vAlign w:val="center"/>
                </w:tcPr>
                <w:p>
                  <w:pPr>
                    <w:spacing w:line="240" w:lineRule="auto"/>
                    <w:jc w:val="center"/>
                    <w:rPr>
                      <w:rFonts w:ascii="Times New Roman" w:hAnsi="Times New Roman" w:cs="Times New Roman"/>
                      <w:bCs/>
                      <w:sz w:val="21"/>
                      <w:szCs w:val="21"/>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装修废气</w:t>
                  </w:r>
                </w:p>
              </w:tc>
              <w:tc>
                <w:tcPr>
                  <w:tcW w:w="735"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hint="eastAsia" w:ascii="Times New Roman" w:hAnsi="Times New Roman" w:cs="Times New Roman"/>
                      <w:sz w:val="21"/>
                      <w:szCs w:val="21"/>
                    </w:rPr>
                    <w:t>甲苯、二甲苯</w:t>
                  </w:r>
                </w:p>
              </w:tc>
              <w:tc>
                <w:tcPr>
                  <w:tcW w:w="157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w:t>
                  </w:r>
                </w:p>
              </w:tc>
              <w:tc>
                <w:tcPr>
                  <w:tcW w:w="1482"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达标排放</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bCs/>
                      <w:sz w:val="21"/>
                      <w:szCs w:val="21"/>
                    </w:rPr>
                  </w:pPr>
                </w:p>
              </w:tc>
              <w:tc>
                <w:tcPr>
                  <w:tcW w:w="376" w:type="pct"/>
                  <w:vMerge w:val="continue"/>
                  <w:tcBorders>
                    <w:tl2br w:val="nil"/>
                    <w:tr2bl w:val="nil"/>
                  </w:tcBorders>
                  <w:vAlign w:val="center"/>
                </w:tcPr>
                <w:p>
                  <w:pPr>
                    <w:spacing w:line="240" w:lineRule="auto"/>
                    <w:jc w:val="center"/>
                    <w:rPr>
                      <w:rFonts w:ascii="Times New Roman" w:hAnsi="Times New Roman" w:cs="Times New Roman"/>
                      <w:bCs/>
                      <w:sz w:val="21"/>
                      <w:szCs w:val="21"/>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汽车尾气</w:t>
                  </w:r>
                </w:p>
              </w:tc>
              <w:tc>
                <w:tcPr>
                  <w:tcW w:w="735"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C</w:t>
                  </w:r>
                  <w:r>
                    <w:rPr>
                      <w:rFonts w:ascii="Times New Roman" w:hAnsi="Times New Roman" w:cs="Times New Roman"/>
                      <w:sz w:val="21"/>
                      <w:szCs w:val="21"/>
                    </w:rPr>
                    <w:t>O</w:t>
                  </w:r>
                  <w:r>
                    <w:rPr>
                      <w:rFonts w:hint="eastAsia" w:ascii="Times New Roman" w:hAnsi="Times New Roman" w:cs="Times New Roman"/>
                      <w:sz w:val="21"/>
                      <w:szCs w:val="21"/>
                    </w:rPr>
                    <w:t>、N</w:t>
                  </w:r>
                  <w:r>
                    <w:rPr>
                      <w:rFonts w:ascii="Times New Roman" w:hAnsi="Times New Roman" w:cs="Times New Roman"/>
                      <w:sz w:val="21"/>
                      <w:szCs w:val="21"/>
                    </w:rPr>
                    <w:t>Ox</w:t>
                  </w:r>
                  <w:r>
                    <w:rPr>
                      <w:rFonts w:hint="eastAsia" w:ascii="Times New Roman" w:hAnsi="Times New Roman" w:cs="Times New Roman"/>
                      <w:sz w:val="21"/>
                      <w:szCs w:val="21"/>
                    </w:rPr>
                    <w:t>、T</w:t>
                  </w:r>
                  <w:r>
                    <w:rPr>
                      <w:rFonts w:ascii="Times New Roman" w:hAnsi="Times New Roman" w:cs="Times New Roman"/>
                      <w:sz w:val="21"/>
                      <w:szCs w:val="21"/>
                    </w:rPr>
                    <w:t>HC</w:t>
                  </w:r>
                </w:p>
              </w:tc>
              <w:tc>
                <w:tcPr>
                  <w:tcW w:w="1576"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w:t>
                  </w:r>
                </w:p>
              </w:tc>
              <w:tc>
                <w:tcPr>
                  <w:tcW w:w="1482"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达标排放</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sz w:val="21"/>
                      <w:szCs w:val="21"/>
                      <w:highlight w:val="yellow"/>
                    </w:rPr>
                  </w:pPr>
                </w:p>
              </w:tc>
              <w:tc>
                <w:tcPr>
                  <w:tcW w:w="37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废水</w:t>
                  </w: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生活污水、施工废水</w:t>
                  </w:r>
                </w:p>
              </w:tc>
              <w:tc>
                <w:tcPr>
                  <w:tcW w:w="735"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COD</w:t>
                  </w:r>
                  <w:r>
                    <w:rPr>
                      <w:rFonts w:ascii="Times New Roman" w:hAnsi="Times New Roman" w:cs="Times New Roman"/>
                      <w:sz w:val="21"/>
                      <w:szCs w:val="21"/>
                      <w:vertAlign w:val="subscript"/>
                    </w:rPr>
                    <w:t>cr</w:t>
                  </w:r>
                  <w:r>
                    <w:rPr>
                      <w:rFonts w:ascii="Times New Roman" w:hAnsi="Times New Roman" w:cs="Times New Roman"/>
                      <w:sz w:val="21"/>
                      <w:szCs w:val="21"/>
                    </w:rPr>
                    <w:t>、SS、NH</w:t>
                  </w:r>
                  <w:r>
                    <w:rPr>
                      <w:rFonts w:ascii="Times New Roman" w:hAnsi="Times New Roman" w:cs="Times New Roman"/>
                      <w:sz w:val="21"/>
                      <w:szCs w:val="21"/>
                      <w:vertAlign w:val="subscript"/>
                    </w:rPr>
                    <w:t>3</w:t>
                  </w:r>
                  <w:r>
                    <w:rPr>
                      <w:rFonts w:ascii="Times New Roman" w:hAnsi="Times New Roman" w:cs="Times New Roman"/>
                      <w:sz w:val="21"/>
                      <w:szCs w:val="21"/>
                    </w:rPr>
                    <w:t>-N、动植物油、石油类</w:t>
                  </w: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化粪池、截水沟、沉淀池等</w:t>
                  </w:r>
                </w:p>
              </w:tc>
              <w:tc>
                <w:tcPr>
                  <w:tcW w:w="1482"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施工废水沉淀后回用；</w:t>
                  </w:r>
                </w:p>
                <w:p>
                  <w:pPr>
                    <w:spacing w:line="240" w:lineRule="auto"/>
                    <w:jc w:val="center"/>
                  </w:pPr>
                  <w:r>
                    <w:rPr>
                      <w:rFonts w:hint="eastAsia" w:ascii="Times New Roman" w:hAnsi="Times New Roman" w:cs="Times New Roman"/>
                      <w:sz w:val="21"/>
                      <w:szCs w:val="21"/>
                    </w:rPr>
                    <w:t>生活污水经市政单位外运</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sz w:val="21"/>
                      <w:szCs w:val="21"/>
                      <w:highlight w:val="yellow"/>
                    </w:rPr>
                  </w:pPr>
                </w:p>
              </w:tc>
              <w:tc>
                <w:tcPr>
                  <w:tcW w:w="37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噪声</w:t>
                  </w: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设备噪声</w:t>
                  </w:r>
                </w:p>
              </w:tc>
              <w:tc>
                <w:tcPr>
                  <w:tcW w:w="735"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场界噪声</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场地周边修建2-3m高围墙，高噪声设备搭建临时隔声屏障，合理安排施工时间等</w:t>
                  </w:r>
                </w:p>
              </w:tc>
              <w:tc>
                <w:tcPr>
                  <w:tcW w:w="1482"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《建筑施工场界噪声限排放标准》（GB12523—2011）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sz w:val="21"/>
                      <w:szCs w:val="21"/>
                      <w:highlight w:val="yellow"/>
                    </w:rPr>
                  </w:pPr>
                </w:p>
              </w:tc>
              <w:tc>
                <w:tcPr>
                  <w:tcW w:w="37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固废</w:t>
                  </w:r>
                </w:p>
              </w:tc>
              <w:tc>
                <w:tcPr>
                  <w:tcW w:w="594" w:type="pct"/>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r>
                    <w:rPr>
                      <w:rFonts w:ascii="Times New Roman" w:hAnsi="Times New Roman" w:cs="Times New Roman"/>
                      <w:kern w:val="0"/>
                      <w:sz w:val="21"/>
                      <w:szCs w:val="21"/>
                      <w:lang w:bidi="ar"/>
                    </w:rPr>
                    <w:t>建筑垃圾</w:t>
                  </w:r>
                </w:p>
              </w:tc>
              <w:tc>
                <w:tcPr>
                  <w:tcW w:w="735" w:type="pct"/>
                  <w:tcBorders>
                    <w:tl2br w:val="nil"/>
                    <w:tr2bl w:val="nil"/>
                  </w:tcBorders>
                  <w:vAlign w:val="center"/>
                </w:tcPr>
                <w:p>
                  <w:pPr>
                    <w:widowControl/>
                    <w:spacing w:line="240" w:lineRule="auto"/>
                    <w:jc w:val="center"/>
                    <w:rPr>
                      <w:rFonts w:ascii="Times New Roman" w:hAnsi="Times New Roman" w:cs="Times New Roman"/>
                      <w:kern w:val="0"/>
                      <w:sz w:val="21"/>
                      <w:szCs w:val="21"/>
                      <w:lang w:val="es-ES" w:bidi="ar"/>
                    </w:rPr>
                  </w:pPr>
                  <w:r>
                    <w:rPr>
                      <w:rFonts w:ascii="Times New Roman" w:hAnsi="Times New Roman" w:cs="Times New Roman"/>
                      <w:kern w:val="0"/>
                      <w:sz w:val="21"/>
                      <w:szCs w:val="21"/>
                      <w:lang w:bidi="ar"/>
                    </w:rPr>
                    <w:t>建筑垃圾</w:t>
                  </w: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卫生填埋、指定堆置点等</w:t>
                  </w:r>
                </w:p>
              </w:tc>
              <w:tc>
                <w:tcPr>
                  <w:tcW w:w="148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合理处置，无乱堆乱放</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spacing w:line="240" w:lineRule="auto"/>
                    <w:jc w:val="center"/>
                    <w:rPr>
                      <w:rFonts w:ascii="Times New Roman" w:hAnsi="Times New Roman" w:cs="Times New Roman"/>
                      <w:sz w:val="21"/>
                      <w:szCs w:val="21"/>
                      <w:highlight w:val="yellow"/>
                    </w:rPr>
                  </w:pPr>
                </w:p>
              </w:tc>
              <w:tc>
                <w:tcPr>
                  <w:tcW w:w="376"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生态</w:t>
                  </w:r>
                </w:p>
              </w:tc>
              <w:tc>
                <w:tcPr>
                  <w:tcW w:w="594"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施工影响</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水土保持</w:t>
                  </w: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污水管网、绿化等</w:t>
                  </w:r>
                </w:p>
              </w:tc>
              <w:tc>
                <w:tcPr>
                  <w:tcW w:w="1482"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生态环境恢复</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restart"/>
                  <w:tcBorders>
                    <w:tl2br w:val="nil"/>
                    <w:tr2bl w:val="nil"/>
                  </w:tcBorders>
                  <w:vAlign w:val="center"/>
                </w:tcPr>
                <w:p>
                  <w:pPr>
                    <w:widowControl/>
                    <w:spacing w:line="240" w:lineRule="auto"/>
                    <w:jc w:val="center"/>
                    <w:rPr>
                      <w:rFonts w:ascii="Times New Roman" w:hAnsi="Times New Roman" w:eastAsia="宋体" w:cs="Times New Roman"/>
                      <w:kern w:val="0"/>
                      <w:sz w:val="21"/>
                      <w:szCs w:val="21"/>
                      <w:highlight w:val="yellow"/>
                      <w:lang w:bidi="ar"/>
                    </w:rPr>
                  </w:pPr>
                  <w:r>
                    <w:rPr>
                      <w:rFonts w:ascii="Times New Roman" w:hAnsi="Times New Roman" w:cs="Times New Roman"/>
                      <w:kern w:val="0"/>
                      <w:sz w:val="21"/>
                      <w:szCs w:val="21"/>
                      <w:lang w:bidi="ar"/>
                    </w:rPr>
                    <w:t>运营期</w:t>
                  </w:r>
                </w:p>
              </w:tc>
              <w:tc>
                <w:tcPr>
                  <w:tcW w:w="376" w:type="pct"/>
                  <w:vMerge w:val="restar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废气</w:t>
                  </w: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hint="eastAsia" w:ascii="Times New Roman" w:hAnsi="Times New Roman" w:cs="Times New Roman"/>
                      <w:sz w:val="21"/>
                      <w:szCs w:val="21"/>
                    </w:rPr>
                    <w:t>汽车尾气</w:t>
                  </w:r>
                </w:p>
              </w:tc>
              <w:tc>
                <w:tcPr>
                  <w:tcW w:w="735"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CO、HC、NO</w:t>
                  </w:r>
                  <w:r>
                    <w:rPr>
                      <w:rFonts w:ascii="Times New Roman" w:hAnsi="Times New Roman" w:cs="Times New Roman"/>
                      <w:sz w:val="21"/>
                      <w:szCs w:val="21"/>
                      <w:vertAlign w:val="subscript"/>
                    </w:rPr>
                    <w:t>X</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地下</w:t>
                  </w:r>
                  <w:r>
                    <w:rPr>
                      <w:rFonts w:hint="eastAsia" w:ascii="Times New Roman" w:hAnsi="Times New Roman" w:cs="Times New Roman"/>
                      <w:sz w:val="21"/>
                      <w:szCs w:val="21"/>
                    </w:rPr>
                    <w:t>车库</w:t>
                  </w:r>
                  <w:r>
                    <w:rPr>
                      <w:rFonts w:ascii="Times New Roman" w:hAnsi="Times New Roman" w:cs="Times New Roman"/>
                      <w:sz w:val="21"/>
                      <w:szCs w:val="21"/>
                    </w:rPr>
                    <w:t>机械排风系统</w:t>
                  </w:r>
                </w:p>
              </w:tc>
              <w:tc>
                <w:tcPr>
                  <w:tcW w:w="1482" w:type="pct"/>
                  <w:vMerge w:val="restar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执行《大气污染物综合排放标准（GB16297-1996）中的二级标准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实验室</w:t>
                  </w:r>
                </w:p>
              </w:tc>
              <w:tc>
                <w:tcPr>
                  <w:tcW w:w="735"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实验废气</w:t>
                  </w:r>
                </w:p>
              </w:tc>
              <w:tc>
                <w:tcPr>
                  <w:tcW w:w="1576"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通风橱集中于一根专用烟道后由屋顶高空排放</w:t>
                  </w:r>
                </w:p>
              </w:tc>
              <w:tc>
                <w:tcPr>
                  <w:tcW w:w="1482"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食堂</w:t>
                  </w:r>
                </w:p>
              </w:tc>
              <w:tc>
                <w:tcPr>
                  <w:tcW w:w="735"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油烟</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高效油烟净化器+排烟竖井</w:t>
                  </w:r>
                </w:p>
              </w:tc>
              <w:tc>
                <w:tcPr>
                  <w:tcW w:w="1482"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达到《饮食业油烟排放标准》(试行)GB18483-2001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hint="eastAsia" w:ascii="Times New Roman" w:hAnsi="Times New Roman" w:cs="Times New Roman"/>
                      <w:sz w:val="21"/>
                      <w:szCs w:val="21"/>
                    </w:rPr>
                    <w:t>污水处理站</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恶臭</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周边绿化</w:t>
                  </w:r>
                  <w:r>
                    <w:rPr>
                      <w:rFonts w:hint="eastAsia" w:ascii="Times New Roman" w:hAnsi="Times New Roman" w:cs="Times New Roman"/>
                      <w:sz w:val="21"/>
                      <w:szCs w:val="21"/>
                    </w:rPr>
                    <w:t>、投加除臭剂</w:t>
                  </w:r>
                </w:p>
              </w:tc>
              <w:tc>
                <w:tcPr>
                  <w:tcW w:w="1482"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达到《恶臭污染物排放标准》（GB14554-93）中二级新改扩建标准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restar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废水</w:t>
                  </w: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生活污水、物理实验室废水</w:t>
                  </w:r>
                </w:p>
              </w:tc>
              <w:tc>
                <w:tcPr>
                  <w:tcW w:w="735" w:type="pct"/>
                  <w:vMerge w:val="restar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COD</w:t>
                  </w:r>
                  <w:r>
                    <w:rPr>
                      <w:rFonts w:ascii="Times New Roman" w:hAnsi="Times New Roman" w:cs="Times New Roman"/>
                      <w:sz w:val="21"/>
                      <w:szCs w:val="21"/>
                      <w:vertAlign w:val="subscript"/>
                    </w:rPr>
                    <w:t>cr</w:t>
                  </w:r>
                  <w:r>
                    <w:rPr>
                      <w:rFonts w:ascii="Times New Roman" w:hAnsi="Times New Roman" w:cs="Times New Roman"/>
                      <w:sz w:val="21"/>
                      <w:szCs w:val="21"/>
                    </w:rPr>
                    <w:t>、NH</w:t>
                  </w:r>
                  <w:r>
                    <w:rPr>
                      <w:rFonts w:ascii="Times New Roman" w:hAnsi="Times New Roman" w:cs="Times New Roman"/>
                      <w:sz w:val="21"/>
                      <w:szCs w:val="21"/>
                      <w:vertAlign w:val="subscript"/>
                    </w:rPr>
                    <w:t>3</w:t>
                  </w:r>
                  <w:r>
                    <w:rPr>
                      <w:rFonts w:ascii="Times New Roman" w:hAnsi="Times New Roman" w:cs="Times New Roman"/>
                      <w:sz w:val="21"/>
                      <w:szCs w:val="21"/>
                    </w:rPr>
                    <w:t>-N、SS、BOD</w:t>
                  </w:r>
                  <w:r>
                    <w:rPr>
                      <w:rFonts w:ascii="Times New Roman" w:hAnsi="Times New Roman" w:cs="Times New Roman"/>
                      <w:sz w:val="21"/>
                      <w:szCs w:val="21"/>
                      <w:vertAlign w:val="subscript"/>
                    </w:rPr>
                    <w:t>5</w:t>
                  </w:r>
                  <w:r>
                    <w:rPr>
                      <w:rFonts w:ascii="Times New Roman" w:hAnsi="Times New Roman" w:cs="Times New Roman"/>
                      <w:sz w:val="21"/>
                      <w:szCs w:val="21"/>
                    </w:rPr>
                    <w:t>、动植物油</w:t>
                  </w: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化粪池</w:t>
                  </w:r>
                </w:p>
              </w:tc>
              <w:tc>
                <w:tcPr>
                  <w:tcW w:w="1482" w:type="pct"/>
                  <w:vMerge w:val="restar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接通污水管网之前：</w:t>
                  </w:r>
                </w:p>
                <w:p>
                  <w:pPr>
                    <w:pStyle w:val="2"/>
                    <w:spacing w:after="0" w:line="240" w:lineRule="auto"/>
                  </w:pPr>
                  <w:r>
                    <w:rPr>
                      <w:rFonts w:ascii="Times New Roman" w:hAnsi="Times New Roman"/>
                      <w:lang w:val="zh-CN"/>
                    </w:rPr>
                    <w:t>《</w:t>
                  </w:r>
                  <w:r>
                    <w:rPr>
                      <w:rFonts w:ascii="Times New Roman" w:hAnsi="Times New Roman" w:cs="Times New Roman"/>
                      <w:sz w:val="21"/>
                      <w:szCs w:val="21"/>
                    </w:rPr>
                    <w:t>城镇污水处理厂污染物排放标准》（GB18918-2002）一级A标准</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接通污水管网之后：</w:t>
                  </w:r>
                </w:p>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达到《污水综合排放标准》（GB8978-96）三级标准及</w:t>
                  </w:r>
                  <w:r>
                    <w:rPr>
                      <w:rFonts w:hint="eastAsia" w:ascii="Times New Roman" w:hAnsi="Times New Roman" w:cs="Times New Roman"/>
                      <w:sz w:val="21"/>
                      <w:szCs w:val="21"/>
                    </w:rPr>
                    <w:t>罗家坡</w:t>
                  </w:r>
                  <w:r>
                    <w:rPr>
                      <w:rFonts w:ascii="Times New Roman" w:hAnsi="Times New Roman" w:cs="Times New Roman"/>
                      <w:sz w:val="21"/>
                      <w:szCs w:val="21"/>
                    </w:rPr>
                    <w:t>污水处理厂进水水质要求后，排入污水处理厂</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食堂废水</w:t>
                  </w:r>
                </w:p>
              </w:tc>
              <w:tc>
                <w:tcPr>
                  <w:tcW w:w="735" w:type="pct"/>
                  <w:vMerge w:val="continue"/>
                  <w:tcBorders>
                    <w:tl2br w:val="nil"/>
                    <w:tr2bl w:val="nil"/>
                  </w:tcBorders>
                  <w:vAlign w:val="center"/>
                </w:tcPr>
                <w:p>
                  <w:pPr>
                    <w:spacing w:line="240" w:lineRule="auto"/>
                    <w:jc w:val="center"/>
                    <w:rPr>
                      <w:rFonts w:ascii="Times New Roman" w:hAnsi="Times New Roman" w:cs="Times New Roman"/>
                      <w:kern w:val="0"/>
                      <w:sz w:val="21"/>
                      <w:szCs w:val="21"/>
                      <w:lang w:bidi="ar"/>
                    </w:rPr>
                  </w:pP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隔油沉淀池+化粪池</w:t>
                  </w:r>
                </w:p>
              </w:tc>
              <w:tc>
                <w:tcPr>
                  <w:tcW w:w="1482"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生物实验室废水</w:t>
                  </w:r>
                </w:p>
              </w:tc>
              <w:tc>
                <w:tcPr>
                  <w:tcW w:w="735" w:type="pct"/>
                  <w:vMerge w:val="continue"/>
                  <w:tcBorders>
                    <w:tl2br w:val="nil"/>
                    <w:tr2bl w:val="nil"/>
                  </w:tcBorders>
                  <w:vAlign w:val="center"/>
                </w:tcPr>
                <w:p>
                  <w:pPr>
                    <w:spacing w:line="240" w:lineRule="auto"/>
                    <w:jc w:val="center"/>
                    <w:rPr>
                      <w:rFonts w:ascii="Times New Roman" w:hAnsi="Times New Roman" w:cs="Times New Roman"/>
                      <w:kern w:val="0"/>
                      <w:sz w:val="21"/>
                      <w:szCs w:val="21"/>
                      <w:lang w:bidi="ar"/>
                    </w:rPr>
                  </w:pP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消毒沉淀池+化粪池</w:t>
                  </w:r>
                </w:p>
              </w:tc>
              <w:tc>
                <w:tcPr>
                  <w:tcW w:w="1482"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261"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c>
                <w:tcPr>
                  <w:tcW w:w="594"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化学实验室废水</w:t>
                  </w:r>
                </w:p>
              </w:tc>
              <w:tc>
                <w:tcPr>
                  <w:tcW w:w="735"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COD</w:t>
                  </w:r>
                  <w:r>
                    <w:rPr>
                      <w:rFonts w:ascii="Times New Roman" w:hAnsi="Times New Roman" w:cs="Times New Roman"/>
                      <w:sz w:val="21"/>
                      <w:szCs w:val="21"/>
                      <w:vertAlign w:val="subscript"/>
                    </w:rPr>
                    <w:t>cr</w:t>
                  </w:r>
                  <w:r>
                    <w:rPr>
                      <w:rFonts w:ascii="Times New Roman" w:hAnsi="Times New Roman" w:cs="Times New Roman"/>
                      <w:sz w:val="21"/>
                      <w:szCs w:val="21"/>
                    </w:rPr>
                    <w:t>、NH</w:t>
                  </w:r>
                  <w:r>
                    <w:rPr>
                      <w:rFonts w:ascii="Times New Roman" w:hAnsi="Times New Roman" w:cs="Times New Roman"/>
                      <w:sz w:val="21"/>
                      <w:szCs w:val="21"/>
                      <w:vertAlign w:val="subscript"/>
                    </w:rPr>
                    <w:t>3</w:t>
                  </w:r>
                  <w:r>
                    <w:rPr>
                      <w:rFonts w:ascii="Times New Roman" w:hAnsi="Times New Roman" w:cs="Times New Roman"/>
                      <w:sz w:val="21"/>
                      <w:szCs w:val="21"/>
                    </w:rPr>
                    <w:t>-N、SS、BOD</w:t>
                  </w:r>
                  <w:r>
                    <w:rPr>
                      <w:rFonts w:ascii="Times New Roman" w:hAnsi="Times New Roman" w:cs="Times New Roman"/>
                      <w:sz w:val="21"/>
                      <w:szCs w:val="21"/>
                      <w:vertAlign w:val="subscript"/>
                    </w:rPr>
                    <w:t>5</w:t>
                  </w:r>
                </w:p>
              </w:tc>
              <w:tc>
                <w:tcPr>
                  <w:tcW w:w="1576" w:type="pct"/>
                  <w:tcBorders>
                    <w:tl2br w:val="nil"/>
                    <w:tr2bl w:val="nil"/>
                  </w:tcBorders>
                  <w:vAlign w:val="center"/>
                </w:tcPr>
                <w:p>
                  <w:pPr>
                    <w:pStyle w:val="36"/>
                    <w:spacing w:line="240" w:lineRule="auto"/>
                    <w:ind w:firstLine="0"/>
                    <w:jc w:val="center"/>
                    <w:rPr>
                      <w:rFonts w:ascii="Times New Roman" w:hAnsi="Times New Roman" w:cs="Times New Roman"/>
                      <w:kern w:val="0"/>
                      <w:sz w:val="21"/>
                      <w:szCs w:val="21"/>
                      <w:lang w:bidi="ar"/>
                    </w:rPr>
                  </w:pPr>
                  <w:r>
                    <w:rPr>
                      <w:rFonts w:ascii="Times New Roman" w:hAnsi="Times New Roman" w:cs="Times New Roman"/>
                      <w:sz w:val="21"/>
                      <w:szCs w:val="21"/>
                    </w:rPr>
                    <w:t>化学实验室污水处理设施</w:t>
                  </w:r>
                </w:p>
              </w:tc>
              <w:tc>
                <w:tcPr>
                  <w:tcW w:w="1482"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restar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固废</w:t>
                  </w: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生活垃圾</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垃圾收集桶</w:t>
                  </w:r>
                </w:p>
              </w:tc>
              <w:tc>
                <w:tcPr>
                  <w:tcW w:w="1482"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符合《生活垃圾填埋场污染控制标准》（GB16889-2008）</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highlight w:val="yellow"/>
                      <w:lang w:bidi="ar"/>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餐余</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餐余垃圾收集桶</w:t>
                  </w:r>
                </w:p>
              </w:tc>
              <w:tc>
                <w:tcPr>
                  <w:tcW w:w="1482" w:type="pct"/>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r>
                    <w:rPr>
                      <w:rFonts w:hint="eastAsia" w:ascii="Times New Roman" w:hAnsi="Times New Roman" w:cs="Times New Roman"/>
                      <w:kern w:val="0"/>
                      <w:sz w:val="21"/>
                      <w:szCs w:val="21"/>
                      <w:lang w:bidi="ar"/>
                    </w:rPr>
                    <w:t>统一收集外售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14"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highlight w:val="yellow"/>
                      <w:lang w:bidi="ar"/>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实验室</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废</w:t>
                  </w:r>
                  <w:r>
                    <w:rPr>
                      <w:rFonts w:hint="eastAsia" w:ascii="Times New Roman" w:hAnsi="Times New Roman" w:cs="Times New Roman"/>
                      <w:kern w:val="0"/>
                      <w:sz w:val="21"/>
                      <w:szCs w:val="21"/>
                      <w:lang w:bidi="ar"/>
                    </w:rPr>
                    <w:t>酸</w:t>
                  </w:r>
                  <w:r>
                    <w:rPr>
                      <w:rFonts w:ascii="Times New Roman" w:hAnsi="Times New Roman" w:cs="Times New Roman"/>
                      <w:kern w:val="0"/>
                      <w:sz w:val="21"/>
                      <w:szCs w:val="21"/>
                      <w:lang w:bidi="ar"/>
                    </w:rPr>
                    <w:t>、</w:t>
                  </w:r>
                  <w:r>
                    <w:rPr>
                      <w:rFonts w:hint="eastAsia" w:ascii="Times New Roman" w:hAnsi="Times New Roman" w:cs="Times New Roman"/>
                      <w:kern w:val="0"/>
                      <w:sz w:val="21"/>
                      <w:szCs w:val="21"/>
                      <w:lang w:bidi="ar"/>
                    </w:rPr>
                    <w:t>废碱、废包装容器、化学实验室清洗废液、生物培养基、危废污泥</w:t>
                  </w:r>
                  <w:r>
                    <w:rPr>
                      <w:rFonts w:ascii="Times New Roman" w:hAnsi="Times New Roman" w:cs="Times New Roman"/>
                      <w:kern w:val="0"/>
                      <w:sz w:val="21"/>
                      <w:szCs w:val="21"/>
                      <w:lang w:bidi="ar"/>
                    </w:rPr>
                    <w:t>等</w:t>
                  </w:r>
                </w:p>
              </w:tc>
              <w:tc>
                <w:tcPr>
                  <w:tcW w:w="1576" w:type="pct"/>
                  <w:vMerge w:val="restar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分类收集，按要求对危废进行收集，然后按要求建设暂存库</w:t>
                  </w:r>
                </w:p>
              </w:tc>
              <w:tc>
                <w:tcPr>
                  <w:tcW w:w="1482" w:type="pct"/>
                  <w:vMerge w:val="restar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sz w:val="21"/>
                      <w:szCs w:val="21"/>
                    </w:rPr>
                    <w:t>符合相关环保要求，且在贮存中根据固废类型需符合《一般工业固体废物贮存、处置场污染控制标准》（GB18599-2001）及修改单要求，《危险废物贮存污染控制标准》（GB18597-2001）及修改单要求</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highlight w:val="yellow"/>
                      <w:lang w:bidi="ar"/>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污水处理站</w:t>
                  </w:r>
                </w:p>
              </w:tc>
              <w:tc>
                <w:tcPr>
                  <w:tcW w:w="735" w:type="pct"/>
                  <w:tcBorders>
                    <w:tl2br w:val="nil"/>
                    <w:tr2bl w:val="nil"/>
                  </w:tcBorders>
                  <w:vAlign w:val="center"/>
                </w:tcPr>
                <w:p>
                  <w:pPr>
                    <w:spacing w:line="240" w:lineRule="auto"/>
                    <w:jc w:val="center"/>
                    <w:rPr>
                      <w:rFonts w:ascii="Times New Roman" w:hAnsi="Times New Roman" w:eastAsia="宋体" w:cs="Times New Roman"/>
                      <w:kern w:val="0"/>
                      <w:sz w:val="21"/>
                      <w:szCs w:val="21"/>
                      <w:lang w:bidi="ar"/>
                    </w:rPr>
                  </w:pPr>
                  <w:r>
                    <w:rPr>
                      <w:rFonts w:hint="eastAsia" w:ascii="Times New Roman" w:hAnsi="Times New Roman" w:cs="Times New Roman"/>
                      <w:kern w:val="0"/>
                      <w:sz w:val="21"/>
                      <w:szCs w:val="21"/>
                      <w:lang w:bidi="ar"/>
                    </w:rPr>
                    <w:t>一般污泥</w:t>
                  </w:r>
                </w:p>
              </w:tc>
              <w:tc>
                <w:tcPr>
                  <w:tcW w:w="1576" w:type="pct"/>
                  <w:vMerge w:val="continue"/>
                  <w:tcBorders>
                    <w:tl2br w:val="nil"/>
                    <w:tr2bl w:val="nil"/>
                  </w:tcBorders>
                  <w:vAlign w:val="center"/>
                </w:tcPr>
                <w:p>
                  <w:pPr>
                    <w:spacing w:line="240" w:lineRule="auto"/>
                    <w:jc w:val="center"/>
                    <w:rPr>
                      <w:rFonts w:ascii="Times New Roman" w:hAnsi="Times New Roman" w:cs="Times New Roman"/>
                      <w:kern w:val="0"/>
                      <w:sz w:val="21"/>
                      <w:szCs w:val="21"/>
                      <w:lang w:bidi="ar"/>
                    </w:rPr>
                  </w:pPr>
                </w:p>
              </w:tc>
              <w:tc>
                <w:tcPr>
                  <w:tcW w:w="1482"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vMerge w:val="continue"/>
                  <w:tcBorders>
                    <w:tl2br w:val="nil"/>
                    <w:tr2bl w:val="nil"/>
                  </w:tcBorders>
                  <w:vAlign w:val="center"/>
                </w:tcPr>
                <w:p>
                  <w:pPr>
                    <w:widowControl/>
                    <w:spacing w:line="240" w:lineRule="auto"/>
                    <w:jc w:val="center"/>
                    <w:rPr>
                      <w:rFonts w:ascii="Times New Roman" w:hAnsi="Times New Roman" w:eastAsia="宋体" w:cs="Times New Roman"/>
                      <w:kern w:val="0"/>
                      <w:sz w:val="21"/>
                      <w:szCs w:val="21"/>
                      <w:highlight w:val="yellow"/>
                      <w:lang w:bidi="ar"/>
                    </w:rPr>
                  </w:pP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医疗室</w:t>
                  </w:r>
                </w:p>
              </w:tc>
              <w:tc>
                <w:tcPr>
                  <w:tcW w:w="735"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eastAsia="宋体" w:cs="Times New Roman"/>
                      <w:sz w:val="21"/>
                      <w:szCs w:val="21"/>
                    </w:rPr>
                    <w:t>医疗废物</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按要求对危废进行收集，然后按要求建设暂存库</w:t>
                  </w:r>
                </w:p>
              </w:tc>
              <w:tc>
                <w:tcPr>
                  <w:tcW w:w="1482" w:type="pct"/>
                  <w:tcBorders>
                    <w:tl2br w:val="nil"/>
                    <w:tr2bl w:val="nil"/>
                  </w:tcBorders>
                  <w:vAlign w:val="center"/>
                </w:tcPr>
                <w:p>
                  <w:pPr>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《医疗废物管理条例》、《医院废物废物专用包装物、容器标准和警示标识规定》医疗废物的管理严格执行</w:t>
                  </w:r>
                </w:p>
                <w:p>
                  <w:pPr>
                    <w:widowControl/>
                    <w:spacing w:line="240" w:lineRule="auto"/>
                    <w:jc w:val="center"/>
                    <w:rPr>
                      <w:rFonts w:ascii="Times New Roman" w:hAnsi="Times New Roman" w:cs="Times New Roman"/>
                      <w:kern w:val="0"/>
                      <w:sz w:val="21"/>
                      <w:szCs w:val="21"/>
                      <w:lang w:bidi="ar"/>
                    </w:rPr>
                  </w:pPr>
                  <w:r>
                    <w:rPr>
                      <w:rFonts w:ascii="Times New Roman" w:hAnsi="Times New Roman" w:eastAsia="宋体" w:cs="Times New Roman"/>
                      <w:sz w:val="21"/>
                      <w:szCs w:val="21"/>
                    </w:rPr>
                    <w:t>《危险废物贮存污染控制标准》（GB18597-2001及其修改单）</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tcBorders>
                    <w:tl2br w:val="nil"/>
                    <w:tr2bl w:val="nil"/>
                  </w:tcBorders>
                  <w:vAlign w:val="center"/>
                </w:tcPr>
                <w:p>
                  <w:pPr>
                    <w:widowControl/>
                    <w:spacing w:line="240" w:lineRule="auto"/>
                    <w:jc w:val="center"/>
                    <w:rPr>
                      <w:rFonts w:ascii="Times New Roman" w:hAnsi="Times New Roman" w:eastAsia="宋体" w:cs="Times New Roman"/>
                      <w:kern w:val="0"/>
                      <w:sz w:val="21"/>
                      <w:szCs w:val="21"/>
                      <w:lang w:bidi="ar"/>
                    </w:rPr>
                  </w:pPr>
                  <w:r>
                    <w:rPr>
                      <w:rFonts w:ascii="Times New Roman" w:hAnsi="Times New Roman" w:cs="Times New Roman"/>
                      <w:kern w:val="0"/>
                      <w:sz w:val="21"/>
                      <w:szCs w:val="21"/>
                      <w:lang w:bidi="ar"/>
                    </w:rPr>
                    <w:t>噪声</w:t>
                  </w:r>
                </w:p>
              </w:tc>
              <w:tc>
                <w:tcPr>
                  <w:tcW w:w="594" w:type="pct"/>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教学活动、主要设备房、临路一侧</w:t>
                  </w:r>
                </w:p>
              </w:tc>
              <w:tc>
                <w:tcPr>
                  <w:tcW w:w="735" w:type="pct"/>
                  <w:tcBorders>
                    <w:tl2br w:val="nil"/>
                    <w:tr2bl w:val="nil"/>
                  </w:tcBorders>
                  <w:vAlign w:val="center"/>
                </w:tcPr>
                <w:p>
                  <w:pPr>
                    <w:widowControl/>
                    <w:spacing w:line="240" w:lineRule="auto"/>
                    <w:jc w:val="center"/>
                    <w:rPr>
                      <w:rFonts w:ascii="Times New Roman" w:hAnsi="Times New Roman" w:cs="Times New Roman"/>
                      <w:kern w:val="0"/>
                      <w:sz w:val="21"/>
                      <w:szCs w:val="21"/>
                      <w:lang w:bidi="ar"/>
                    </w:rPr>
                  </w:pPr>
                  <w:r>
                    <w:rPr>
                      <w:rFonts w:ascii="Times New Roman" w:hAnsi="Times New Roman" w:cs="Times New Roman"/>
                      <w:kern w:val="0"/>
                      <w:sz w:val="21"/>
                      <w:szCs w:val="21"/>
                      <w:lang w:bidi="ar"/>
                    </w:rPr>
                    <w:t>LeqA</w:t>
                  </w:r>
                </w:p>
              </w:tc>
              <w:tc>
                <w:tcPr>
                  <w:tcW w:w="15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吸声、隔声、绿化</w:t>
                  </w:r>
                </w:p>
              </w:tc>
              <w:tc>
                <w:tcPr>
                  <w:tcW w:w="1482"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符合《声环境质量标准》(GB3096-2008)中</w:t>
                  </w:r>
                  <w:r>
                    <w:rPr>
                      <w:rFonts w:hint="eastAsia" w:ascii="Times New Roman" w:hAnsi="Times New Roman" w:cs="Times New Roman"/>
                      <w:sz w:val="21"/>
                      <w:szCs w:val="21"/>
                    </w:rPr>
                    <w:t>2</w:t>
                  </w:r>
                  <w:r>
                    <w:rPr>
                      <w:rFonts w:ascii="Times New Roman" w:hAnsi="Times New Roman" w:cs="Times New Roman"/>
                      <w:sz w:val="21"/>
                      <w:szCs w:val="21"/>
                    </w:rPr>
                    <w:t>类标准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37" w:type="pct"/>
                  <w:vMerge w:val="continue"/>
                  <w:tcBorders>
                    <w:tl2br w:val="nil"/>
                    <w:tr2bl w:val="nil"/>
                  </w:tcBorders>
                  <w:vAlign w:val="center"/>
                </w:tcPr>
                <w:p>
                  <w:pPr>
                    <w:widowControl/>
                    <w:spacing w:line="240" w:lineRule="auto"/>
                    <w:jc w:val="center"/>
                    <w:rPr>
                      <w:rFonts w:ascii="Times New Roman" w:hAnsi="Times New Roman" w:cs="Times New Roman"/>
                      <w:kern w:val="0"/>
                      <w:sz w:val="21"/>
                      <w:szCs w:val="21"/>
                      <w:highlight w:val="yellow"/>
                      <w:lang w:bidi="ar"/>
                    </w:rPr>
                  </w:pPr>
                </w:p>
              </w:tc>
              <w:tc>
                <w:tcPr>
                  <w:tcW w:w="376" w:type="pct"/>
                  <w:tcBorders>
                    <w:tl2br w:val="nil"/>
                    <w:tr2bl w:val="nil"/>
                  </w:tcBorders>
                  <w:vAlign w:val="center"/>
                </w:tcPr>
                <w:p>
                  <w:pPr>
                    <w:spacing w:line="240" w:lineRule="auto"/>
                    <w:jc w:val="center"/>
                    <w:rPr>
                      <w:rFonts w:ascii="Times New Roman" w:hAnsi="Times New Roman" w:cs="Times New Roman"/>
                      <w:kern w:val="0"/>
                      <w:sz w:val="21"/>
                      <w:szCs w:val="21"/>
                      <w:lang w:bidi="ar"/>
                    </w:rPr>
                  </w:pPr>
                  <w:r>
                    <w:rPr>
                      <w:rFonts w:ascii="Times New Roman" w:hAnsi="Times New Roman" w:cs="Times New Roman"/>
                      <w:sz w:val="21"/>
                      <w:szCs w:val="21"/>
                    </w:rPr>
                    <w:t>绿化</w:t>
                  </w:r>
                </w:p>
              </w:tc>
              <w:tc>
                <w:tcPr>
                  <w:tcW w:w="4387" w:type="pct"/>
                  <w:gridSpan w:val="4"/>
                  <w:tcBorders>
                    <w:tl2br w:val="nil"/>
                    <w:tr2bl w:val="nil"/>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绿化率不低于35%</w:t>
                  </w:r>
                </w:p>
              </w:tc>
            </w:tr>
          </w:tbl>
          <w:p>
            <w:pPr>
              <w:pStyle w:val="4"/>
              <w:outlineLvl w:val="0"/>
            </w:pPr>
          </w:p>
        </w:tc>
      </w:tr>
    </w:tbl>
    <w:p>
      <w:pPr>
        <w:bidi w:val="0"/>
        <w:sectPr>
          <w:pgSz w:w="11906" w:h="16838"/>
          <w:pgMar w:top="1440" w:right="1800" w:bottom="1440" w:left="1800" w:header="851" w:footer="992" w:gutter="0"/>
          <w:cols w:space="425" w:num="1"/>
          <w:docGrid w:type="lines" w:linePitch="312" w:charSpace="0"/>
        </w:sectPr>
      </w:pPr>
    </w:p>
    <w:p>
      <w:pPr>
        <w:pStyle w:val="4"/>
      </w:pPr>
      <w:bookmarkStart w:id="92" w:name="_Toc34059559"/>
      <w:r>
        <w:rPr>
          <w:rFonts w:hint="eastAsia"/>
        </w:rPr>
        <w:t>八、建设项目采取的防治措施及预期治理效果</w:t>
      </w:r>
      <w:bookmarkEnd w:id="92"/>
    </w:p>
    <w:tbl>
      <w:tblPr>
        <w:tblStyle w:val="23"/>
        <w:tblW w:w="92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80"/>
        <w:gridCol w:w="479"/>
        <w:gridCol w:w="1238"/>
        <w:gridCol w:w="375"/>
        <w:gridCol w:w="2002"/>
        <w:gridCol w:w="2315"/>
        <w:gridCol w:w="2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80" w:type="dxa"/>
            <w:tcBorders>
              <w:top w:val="single" w:color="auto" w:sz="12" w:space="0"/>
              <w:bottom w:val="single" w:color="auto" w:sz="4" w:space="0"/>
              <w:tl2br w:val="single" w:color="auto" w:sz="6" w:space="0"/>
            </w:tcBorders>
            <w:vAlign w:val="center"/>
          </w:tcPr>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内容</w:t>
            </w:r>
          </w:p>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类型</w:t>
            </w:r>
          </w:p>
        </w:tc>
        <w:tc>
          <w:tcPr>
            <w:tcW w:w="2092" w:type="dxa"/>
            <w:gridSpan w:val="3"/>
            <w:tcBorders>
              <w:bottom w:val="single" w:color="auto" w:sz="4" w:space="0"/>
            </w:tcBorders>
            <w:vAlign w:val="center"/>
          </w:tcPr>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排放源</w:t>
            </w:r>
          </w:p>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（编号）</w:t>
            </w:r>
          </w:p>
        </w:tc>
        <w:tc>
          <w:tcPr>
            <w:tcW w:w="2002" w:type="dxa"/>
            <w:tcBorders>
              <w:bottom w:val="single" w:color="auto" w:sz="4" w:space="0"/>
            </w:tcBorders>
            <w:vAlign w:val="center"/>
          </w:tcPr>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污染物</w:t>
            </w:r>
          </w:p>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名  称</w:t>
            </w:r>
          </w:p>
        </w:tc>
        <w:tc>
          <w:tcPr>
            <w:tcW w:w="2315" w:type="dxa"/>
            <w:tcBorders>
              <w:bottom w:val="single" w:color="auto" w:sz="4" w:space="0"/>
            </w:tcBorders>
            <w:vAlign w:val="center"/>
          </w:tcPr>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防 治 措 施</w:t>
            </w:r>
          </w:p>
        </w:tc>
        <w:tc>
          <w:tcPr>
            <w:tcW w:w="2097" w:type="dxa"/>
            <w:tcBorders>
              <w:bottom w:val="single" w:color="auto" w:sz="4" w:space="0"/>
            </w:tcBorders>
            <w:vAlign w:val="center"/>
          </w:tcPr>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预期治理</w:t>
            </w:r>
          </w:p>
          <w:p>
            <w:pPr>
              <w:spacing w:line="300" w:lineRule="exact"/>
              <w:jc w:val="center"/>
              <w:rPr>
                <w:rFonts w:ascii="Times New Roman" w:hAnsi="Times New Roman" w:cs="Times New Roman"/>
                <w:b/>
                <w:sz w:val="21"/>
                <w:szCs w:val="21"/>
              </w:rPr>
            </w:pPr>
            <w:r>
              <w:rPr>
                <w:rFonts w:ascii="Times New Roman" w:hAnsi="Times New Roman" w:cs="Times New Roman"/>
                <w:b/>
                <w:sz w:val="21"/>
                <w:szCs w:val="21"/>
              </w:rPr>
              <w:t>效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restart"/>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大气</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污染物</w:t>
            </w:r>
          </w:p>
        </w:tc>
        <w:tc>
          <w:tcPr>
            <w:tcW w:w="479"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施工扬尘</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扬尘</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围墙、防尘布、洒水、清扫、洗车平台、密闭车斗</w:t>
            </w:r>
          </w:p>
        </w:tc>
        <w:tc>
          <w:tcPr>
            <w:tcW w:w="2097" w:type="dxa"/>
            <w:vMerge w:val="restart"/>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达到《大气污染物综合排放标准（GB16297-1996）中的无组织排放浓度监控限值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装修废气</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二甲苯、甲苯</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2097" w:type="dxa"/>
            <w:vMerge w:val="continue"/>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汽车尾气</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eastAsia="Times-Roman" w:cs="Times New Roman"/>
                <w:sz w:val="21"/>
                <w:szCs w:val="21"/>
              </w:rPr>
              <w:t>CO</w:t>
            </w:r>
            <w:r>
              <w:rPr>
                <w:rFonts w:ascii="Times New Roman" w:hAnsi="Times New Roman" w:cs="Times New Roman"/>
                <w:sz w:val="21"/>
                <w:szCs w:val="21"/>
              </w:rPr>
              <w:t>、</w:t>
            </w:r>
            <w:r>
              <w:rPr>
                <w:rFonts w:ascii="Times New Roman" w:hAnsi="Times New Roman" w:eastAsia="Times-Roman" w:cs="Times New Roman"/>
                <w:sz w:val="21"/>
                <w:szCs w:val="21"/>
              </w:rPr>
              <w:t>THC</w:t>
            </w:r>
            <w:r>
              <w:rPr>
                <w:rFonts w:ascii="Times New Roman" w:hAnsi="Times New Roman" w:cs="Times New Roman"/>
                <w:sz w:val="21"/>
                <w:szCs w:val="21"/>
              </w:rPr>
              <w:t>、</w:t>
            </w:r>
            <w:r>
              <w:rPr>
                <w:rFonts w:ascii="Times New Roman" w:hAnsi="Times New Roman" w:eastAsia="Times-Roman" w:cs="Times New Roman"/>
                <w:sz w:val="21"/>
                <w:szCs w:val="21"/>
              </w:rPr>
              <w:t>NO</w:t>
            </w:r>
            <w:r>
              <w:rPr>
                <w:rFonts w:ascii="Times New Roman" w:hAnsi="Times New Roman" w:eastAsia="Times-Roman" w:cs="Times New Roman"/>
                <w:sz w:val="21"/>
                <w:szCs w:val="21"/>
                <w:vertAlign w:val="subscript"/>
              </w:rPr>
              <w:t>X</w:t>
            </w:r>
            <w:r>
              <w:rPr>
                <w:rFonts w:ascii="Times New Roman" w:hAnsi="Times New Roman" w:cs="Times New Roman"/>
                <w:sz w:val="21"/>
                <w:szCs w:val="21"/>
              </w:rPr>
              <w:t>、</w:t>
            </w:r>
            <w:r>
              <w:rPr>
                <w:rFonts w:ascii="Times New Roman" w:hAnsi="Times New Roman" w:eastAsia="Times-Roman" w:cs="Times New Roman"/>
                <w:sz w:val="21"/>
                <w:szCs w:val="21"/>
              </w:rPr>
              <w:t>SO</w:t>
            </w:r>
            <w:r>
              <w:rPr>
                <w:rFonts w:ascii="Times New Roman" w:hAnsi="Times New Roman" w:eastAsia="Times-Roman" w:cs="Times New Roman"/>
                <w:sz w:val="21"/>
                <w:szCs w:val="21"/>
                <w:vertAlign w:val="subscript"/>
              </w:rPr>
              <w:t>2</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c>
          <w:tcPr>
            <w:tcW w:w="2097" w:type="dxa"/>
            <w:vMerge w:val="continue"/>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restart"/>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1613" w:type="dxa"/>
            <w:gridSpan w:val="2"/>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食堂油烟废气</w:t>
            </w:r>
          </w:p>
        </w:tc>
        <w:tc>
          <w:tcPr>
            <w:tcW w:w="2002" w:type="dxa"/>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油烟</w:t>
            </w:r>
          </w:p>
        </w:tc>
        <w:tc>
          <w:tcPr>
            <w:tcW w:w="2315" w:type="dxa"/>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油烟净化系统</w:t>
            </w:r>
          </w:p>
        </w:tc>
        <w:tc>
          <w:tcPr>
            <w:tcW w:w="2097" w:type="dxa"/>
            <w:tcBorders>
              <w:top w:val="single" w:color="auto" w:sz="4" w:space="0"/>
              <w:right w:val="single" w:color="auto" w:sz="12" w:space="0"/>
            </w:tcBorders>
            <w:vAlign w:val="center"/>
          </w:tcPr>
          <w:p>
            <w:pPr>
              <w:spacing w:line="240" w:lineRule="auto"/>
              <w:jc w:val="center"/>
              <w:rPr>
                <w:rFonts w:ascii="Times New Roman" w:hAnsi="Times New Roman" w:eastAsia="宋体" w:cs="Times New Roman"/>
                <w:sz w:val="21"/>
                <w:szCs w:val="21"/>
              </w:rPr>
            </w:pPr>
            <w:r>
              <w:rPr>
                <w:rFonts w:ascii="Times New Roman" w:hAnsi="Times New Roman" w:cs="Times New Roman"/>
                <w:sz w:val="21"/>
                <w:szCs w:val="21"/>
              </w:rPr>
              <w:t>达到《饮食业油烟排放标准》(试行)GB18483-2001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实验室废气</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挥发气体</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通风橱、竖井</w:t>
            </w:r>
          </w:p>
        </w:tc>
        <w:tc>
          <w:tcPr>
            <w:tcW w:w="2097" w:type="dxa"/>
            <w:vMerge w:val="restart"/>
            <w:tcBorders>
              <w:top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执行《大气污染物综合排放标准（GB16297-1996）中的二级标准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地下车库废气</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CO、NO</w:t>
            </w:r>
            <w:r>
              <w:rPr>
                <w:rFonts w:ascii="Times New Roman" w:hAnsi="Times New Roman" w:cs="Times New Roman"/>
                <w:sz w:val="21"/>
                <w:szCs w:val="21"/>
                <w:vertAlign w:val="subscript"/>
              </w:rPr>
              <w:t>2</w:t>
            </w:r>
            <w:r>
              <w:rPr>
                <w:rFonts w:ascii="Times New Roman" w:hAnsi="Times New Roman" w:cs="Times New Roman"/>
                <w:sz w:val="21"/>
                <w:szCs w:val="21"/>
              </w:rPr>
              <w:t>、THC</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排烟系统</w:t>
            </w:r>
          </w:p>
        </w:tc>
        <w:tc>
          <w:tcPr>
            <w:tcW w:w="2097" w:type="dxa"/>
            <w:vMerge w:val="continue"/>
            <w:tcBorders>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垃圾臭气</w:t>
            </w:r>
            <w:r>
              <w:rPr>
                <w:rFonts w:hint="eastAsia" w:ascii="Times New Roman" w:hAnsi="Times New Roman" w:cs="Times New Roman"/>
                <w:sz w:val="21"/>
                <w:szCs w:val="21"/>
              </w:rPr>
              <w:t>、污水处理站</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恶臭</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投加除臭剂、周边绿化</w:t>
            </w:r>
          </w:p>
        </w:tc>
        <w:tc>
          <w:tcPr>
            <w:tcW w:w="2097" w:type="dxa"/>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达到《恶臭污染物排放标准》（GB14554-93）中二级新改扩建标准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restart"/>
            <w:tcBorders>
              <w:top w:val="single" w:color="auto" w:sz="4" w:space="0"/>
              <w:lef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水污染物</w:t>
            </w:r>
          </w:p>
        </w:tc>
        <w:tc>
          <w:tcPr>
            <w:tcW w:w="479" w:type="dxa"/>
            <w:vMerge w:val="restart"/>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施工废水</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SS</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截水沟、沉淀池</w:t>
            </w:r>
          </w:p>
        </w:tc>
        <w:tc>
          <w:tcPr>
            <w:tcW w:w="2097" w:type="dxa"/>
            <w:vMerge w:val="restart"/>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施工废水沉淀后回用；生活污水由市政单位外运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生活污水</w:t>
            </w:r>
          </w:p>
        </w:tc>
        <w:tc>
          <w:tcPr>
            <w:tcW w:w="2002"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COD</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bCs/>
                <w:sz w:val="21"/>
                <w:szCs w:val="21"/>
              </w:rPr>
              <w:t>临时</w:t>
            </w:r>
            <w:r>
              <w:rPr>
                <w:rFonts w:ascii="Times New Roman" w:hAnsi="Times New Roman" w:cs="Times New Roman"/>
                <w:bCs/>
                <w:sz w:val="21"/>
                <w:szCs w:val="21"/>
              </w:rPr>
              <w:t>化粪池</w:t>
            </w:r>
          </w:p>
        </w:tc>
        <w:tc>
          <w:tcPr>
            <w:tcW w:w="2097" w:type="dxa"/>
            <w:vMerge w:val="continue"/>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生活污水、物理实验室废水</w:t>
            </w:r>
          </w:p>
        </w:tc>
        <w:tc>
          <w:tcPr>
            <w:tcW w:w="2002" w:type="dxa"/>
            <w:vMerge w:val="restart"/>
            <w:tcBorders>
              <w:top w:val="single" w:color="auto" w:sz="4" w:space="0"/>
            </w:tcBorders>
            <w:vAlign w:val="center"/>
          </w:tcPr>
          <w:p>
            <w:pPr>
              <w:jc w:val="center"/>
              <w:rPr>
                <w:rFonts w:ascii="Times New Roman" w:hAnsi="Times New Roman" w:cs="Times New Roman"/>
                <w:sz w:val="21"/>
                <w:szCs w:val="21"/>
              </w:rPr>
            </w:pPr>
            <w:r>
              <w:rPr>
                <w:rFonts w:ascii="Times New Roman" w:hAnsi="Times New Roman" w:cs="Times New Roman"/>
                <w:sz w:val="21"/>
                <w:szCs w:val="21"/>
              </w:rPr>
              <w:t>COD</w:t>
            </w:r>
            <w:r>
              <w:rPr>
                <w:rFonts w:ascii="Times New Roman" w:hAnsi="Times New Roman" w:cs="Times New Roman"/>
                <w:sz w:val="21"/>
                <w:szCs w:val="21"/>
                <w:vertAlign w:val="subscript"/>
              </w:rPr>
              <w:t>cr</w:t>
            </w:r>
            <w:r>
              <w:rPr>
                <w:rFonts w:ascii="Times New Roman" w:hAnsi="Times New Roman" w:cs="Times New Roman"/>
                <w:sz w:val="21"/>
                <w:szCs w:val="21"/>
              </w:rPr>
              <w:t>、NH</w:t>
            </w:r>
            <w:r>
              <w:rPr>
                <w:rFonts w:ascii="Times New Roman" w:hAnsi="Times New Roman" w:cs="Times New Roman"/>
                <w:sz w:val="21"/>
                <w:szCs w:val="21"/>
                <w:vertAlign w:val="subscript"/>
              </w:rPr>
              <w:t>3</w:t>
            </w:r>
            <w:r>
              <w:rPr>
                <w:rFonts w:ascii="Times New Roman" w:hAnsi="Times New Roman" w:cs="Times New Roman"/>
                <w:sz w:val="21"/>
                <w:szCs w:val="21"/>
              </w:rPr>
              <w:t>-N、SS、BOD</w:t>
            </w:r>
            <w:r>
              <w:rPr>
                <w:rFonts w:ascii="Times New Roman" w:hAnsi="Times New Roman" w:cs="Times New Roman"/>
                <w:sz w:val="21"/>
                <w:szCs w:val="21"/>
                <w:vertAlign w:val="subscript"/>
              </w:rPr>
              <w:t>5</w:t>
            </w:r>
            <w:r>
              <w:rPr>
                <w:rFonts w:ascii="Times New Roman" w:hAnsi="Times New Roman" w:cs="Times New Roman"/>
                <w:sz w:val="21"/>
                <w:szCs w:val="21"/>
              </w:rPr>
              <w:t>、动植物油</w:t>
            </w:r>
          </w:p>
        </w:tc>
        <w:tc>
          <w:tcPr>
            <w:tcW w:w="2315" w:type="dxa"/>
            <w:tcBorders>
              <w:top w:val="single" w:color="auto" w:sz="4" w:space="0"/>
              <w:bottom w:val="single" w:color="auto" w:sz="4" w:space="0"/>
            </w:tcBorders>
            <w:vAlign w:val="center"/>
          </w:tcPr>
          <w:p>
            <w:pPr>
              <w:pStyle w:val="36"/>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化粪池</w:t>
            </w:r>
          </w:p>
        </w:tc>
        <w:tc>
          <w:tcPr>
            <w:tcW w:w="2097" w:type="dxa"/>
            <w:vMerge w:val="restart"/>
            <w:tcBorders>
              <w:top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接通污水管网之前：</w:t>
            </w:r>
          </w:p>
          <w:p>
            <w:pPr>
              <w:pStyle w:val="2"/>
              <w:spacing w:after="0" w:line="240" w:lineRule="auto"/>
              <w:rPr>
                <w:sz w:val="21"/>
                <w:szCs w:val="21"/>
              </w:rPr>
            </w:pPr>
            <w:r>
              <w:rPr>
                <w:rFonts w:ascii="Times New Roman" w:hAnsi="Times New Roman"/>
                <w:sz w:val="21"/>
                <w:szCs w:val="21"/>
                <w:lang w:val="zh-CN"/>
              </w:rPr>
              <w:t>《</w:t>
            </w:r>
            <w:r>
              <w:rPr>
                <w:rFonts w:ascii="Times New Roman" w:hAnsi="Times New Roman" w:cs="Times New Roman"/>
                <w:sz w:val="21"/>
                <w:szCs w:val="21"/>
              </w:rPr>
              <w:t>城镇污水处理厂污染物排放标准》（GB18918-2002）一级A标准</w:t>
            </w:r>
          </w:p>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接通污水管网之后：</w:t>
            </w:r>
          </w:p>
          <w:p>
            <w:pPr>
              <w:spacing w:line="240" w:lineRule="auto"/>
              <w:jc w:val="center"/>
              <w:rPr>
                <w:rFonts w:ascii="Times New Roman" w:hAnsi="Times New Roman" w:cs="Times New Roman"/>
                <w:sz w:val="21"/>
                <w:szCs w:val="21"/>
              </w:rPr>
            </w:pPr>
            <w:r>
              <w:rPr>
                <w:rFonts w:ascii="Times New Roman" w:hAnsi="Times New Roman" w:cs="Times New Roman"/>
                <w:sz w:val="21"/>
                <w:szCs w:val="21"/>
              </w:rPr>
              <w:t>达到《污水综合排放标准》（GB8978-96）三级标准及</w:t>
            </w:r>
            <w:r>
              <w:rPr>
                <w:rFonts w:hint="eastAsia" w:ascii="Times New Roman" w:hAnsi="Times New Roman" w:cs="Times New Roman"/>
                <w:sz w:val="21"/>
                <w:szCs w:val="21"/>
              </w:rPr>
              <w:t>罗家坡</w:t>
            </w:r>
            <w:r>
              <w:rPr>
                <w:rFonts w:ascii="Times New Roman" w:hAnsi="Times New Roman" w:cs="Times New Roman"/>
                <w:sz w:val="21"/>
                <w:szCs w:val="21"/>
              </w:rPr>
              <w:t>污水处理厂进水水质要求后，排入污水处理厂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食堂废水</w:t>
            </w:r>
          </w:p>
        </w:tc>
        <w:tc>
          <w:tcPr>
            <w:tcW w:w="2002" w:type="dxa"/>
            <w:vMerge w:val="continue"/>
            <w:vAlign w:val="center"/>
          </w:tcPr>
          <w:p>
            <w:pPr>
              <w:spacing w:line="240" w:lineRule="auto"/>
              <w:jc w:val="center"/>
              <w:rPr>
                <w:rFonts w:ascii="Times New Roman" w:hAnsi="Times New Roman" w:cs="Times New Roman"/>
                <w:sz w:val="21"/>
                <w:szCs w:val="21"/>
              </w:rPr>
            </w:pPr>
          </w:p>
        </w:tc>
        <w:tc>
          <w:tcPr>
            <w:tcW w:w="2315" w:type="dxa"/>
            <w:tcBorders>
              <w:top w:val="single" w:color="auto" w:sz="4" w:space="0"/>
              <w:bottom w:val="single" w:color="auto" w:sz="4" w:space="0"/>
            </w:tcBorders>
            <w:vAlign w:val="center"/>
          </w:tcPr>
          <w:p>
            <w:pPr>
              <w:pStyle w:val="36"/>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隔油沉淀池+化粪池</w:t>
            </w: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生物实验室废水</w:t>
            </w:r>
          </w:p>
        </w:tc>
        <w:tc>
          <w:tcPr>
            <w:tcW w:w="2002" w:type="dxa"/>
            <w:vMerge w:val="continue"/>
            <w:tcBorders>
              <w:bottom w:val="single" w:color="auto" w:sz="4" w:space="0"/>
            </w:tcBorders>
            <w:vAlign w:val="center"/>
          </w:tcPr>
          <w:p>
            <w:pPr>
              <w:spacing w:line="240" w:lineRule="auto"/>
              <w:jc w:val="center"/>
              <w:rPr>
                <w:rFonts w:ascii="Times New Roman" w:hAnsi="Times New Roman" w:cs="Times New Roman"/>
                <w:sz w:val="21"/>
                <w:szCs w:val="21"/>
              </w:rPr>
            </w:pPr>
          </w:p>
        </w:tc>
        <w:tc>
          <w:tcPr>
            <w:tcW w:w="2315" w:type="dxa"/>
            <w:tcBorders>
              <w:top w:val="single" w:color="auto" w:sz="4" w:space="0"/>
              <w:bottom w:val="single" w:color="auto" w:sz="4" w:space="0"/>
            </w:tcBorders>
            <w:vAlign w:val="center"/>
          </w:tcPr>
          <w:p>
            <w:pPr>
              <w:pStyle w:val="36"/>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消毒沉淀池+化粪池</w:t>
            </w: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613"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化学实验室废水</w:t>
            </w:r>
          </w:p>
        </w:tc>
        <w:tc>
          <w:tcPr>
            <w:tcW w:w="2002" w:type="dxa"/>
            <w:tcBorders>
              <w:top w:val="single" w:color="auto" w:sz="4" w:space="0"/>
              <w:bottom w:val="single" w:color="auto" w:sz="4" w:space="0"/>
            </w:tcBorders>
            <w:vAlign w:val="center"/>
          </w:tcPr>
          <w:p>
            <w:pPr>
              <w:jc w:val="center"/>
              <w:rPr>
                <w:rFonts w:ascii="Times New Roman" w:hAnsi="Times New Roman" w:cs="Times New Roman"/>
                <w:sz w:val="21"/>
                <w:szCs w:val="21"/>
              </w:rPr>
            </w:pPr>
            <w:r>
              <w:rPr>
                <w:rFonts w:ascii="Times New Roman" w:hAnsi="Times New Roman" w:cs="Times New Roman"/>
                <w:sz w:val="21"/>
                <w:szCs w:val="21"/>
              </w:rPr>
              <w:t>pH、COD</w:t>
            </w:r>
            <w:r>
              <w:rPr>
                <w:rFonts w:ascii="Times New Roman" w:hAnsi="Times New Roman" w:cs="Times New Roman"/>
                <w:sz w:val="21"/>
                <w:szCs w:val="21"/>
                <w:vertAlign w:val="subscript"/>
              </w:rPr>
              <w:t>cr</w:t>
            </w:r>
            <w:r>
              <w:rPr>
                <w:rFonts w:ascii="Times New Roman" w:hAnsi="Times New Roman" w:cs="Times New Roman"/>
                <w:sz w:val="21"/>
                <w:szCs w:val="21"/>
              </w:rPr>
              <w:t>、NH</w:t>
            </w:r>
            <w:r>
              <w:rPr>
                <w:rFonts w:ascii="Times New Roman" w:hAnsi="Times New Roman" w:cs="Times New Roman"/>
                <w:sz w:val="21"/>
                <w:szCs w:val="21"/>
                <w:vertAlign w:val="subscript"/>
              </w:rPr>
              <w:t>3</w:t>
            </w:r>
            <w:r>
              <w:rPr>
                <w:rFonts w:ascii="Times New Roman" w:hAnsi="Times New Roman" w:cs="Times New Roman"/>
                <w:sz w:val="21"/>
                <w:szCs w:val="21"/>
              </w:rPr>
              <w:t>-N、SS、BOD</w:t>
            </w:r>
            <w:r>
              <w:rPr>
                <w:rFonts w:ascii="Times New Roman" w:hAnsi="Times New Roman" w:cs="Times New Roman"/>
                <w:sz w:val="21"/>
                <w:szCs w:val="21"/>
                <w:vertAlign w:val="subscript"/>
              </w:rPr>
              <w:t>5</w:t>
            </w:r>
          </w:p>
        </w:tc>
        <w:tc>
          <w:tcPr>
            <w:tcW w:w="2315" w:type="dxa"/>
            <w:tcBorders>
              <w:top w:val="single" w:color="auto" w:sz="4" w:space="0"/>
              <w:bottom w:val="single" w:color="auto" w:sz="4" w:space="0"/>
            </w:tcBorders>
            <w:vAlign w:val="center"/>
          </w:tcPr>
          <w:p>
            <w:pPr>
              <w:pStyle w:val="36"/>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化学实验室污水处理设施</w:t>
            </w:r>
          </w:p>
        </w:tc>
        <w:tc>
          <w:tcPr>
            <w:tcW w:w="2097" w:type="dxa"/>
            <w:vMerge w:val="continue"/>
            <w:tcBorders>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restart"/>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噪声</w:t>
            </w:r>
          </w:p>
        </w:tc>
        <w:tc>
          <w:tcPr>
            <w:tcW w:w="479"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3615" w:type="dxa"/>
            <w:gridSpan w:val="3"/>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设备噪声</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合理选择机械、围挡、声帐</w:t>
            </w:r>
          </w:p>
        </w:tc>
        <w:tc>
          <w:tcPr>
            <w:tcW w:w="2097" w:type="dxa"/>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达到《建筑施工场界噪声限排放标准》（GB12523—2011）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restart"/>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3615" w:type="dxa"/>
            <w:gridSpan w:val="3"/>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汽车噪声</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控制速度、禁止鸣笛</w:t>
            </w:r>
          </w:p>
        </w:tc>
        <w:tc>
          <w:tcPr>
            <w:tcW w:w="2097" w:type="dxa"/>
            <w:vMerge w:val="restart"/>
            <w:tcBorders>
              <w:top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符合《声环境质量标准》(GB3096-2008)中</w:t>
            </w:r>
            <w:r>
              <w:rPr>
                <w:rFonts w:hint="eastAsia" w:ascii="Times New Roman" w:hAnsi="Times New Roman" w:cs="Times New Roman"/>
                <w:sz w:val="21"/>
                <w:szCs w:val="21"/>
              </w:rPr>
              <w:t>2</w:t>
            </w:r>
            <w:r>
              <w:rPr>
                <w:rFonts w:ascii="Times New Roman" w:hAnsi="Times New Roman" w:cs="Times New Roman"/>
                <w:sz w:val="21"/>
                <w:szCs w:val="21"/>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3615" w:type="dxa"/>
            <w:gridSpan w:val="3"/>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机械设备噪声</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隔声、封闭等</w:t>
            </w: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top w:val="single" w:color="auto" w:sz="4" w:space="0"/>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3615" w:type="dxa"/>
            <w:gridSpan w:val="3"/>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教学活动噪声</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绿化工程</w:t>
            </w:r>
          </w:p>
        </w:tc>
        <w:tc>
          <w:tcPr>
            <w:tcW w:w="2097" w:type="dxa"/>
            <w:vMerge w:val="continue"/>
            <w:tcBorders>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restart"/>
            <w:tcBorders>
              <w:top w:val="single" w:color="auto" w:sz="4" w:space="0"/>
              <w:lef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固废</w:t>
            </w:r>
          </w:p>
        </w:tc>
        <w:tc>
          <w:tcPr>
            <w:tcW w:w="479"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施工期</w:t>
            </w:r>
          </w:p>
        </w:tc>
        <w:tc>
          <w:tcPr>
            <w:tcW w:w="1238"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施工过程</w:t>
            </w:r>
          </w:p>
        </w:tc>
        <w:tc>
          <w:tcPr>
            <w:tcW w:w="2377"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弃土</w:t>
            </w:r>
          </w:p>
        </w:tc>
        <w:tc>
          <w:tcPr>
            <w:tcW w:w="2315" w:type="dxa"/>
            <w:vMerge w:val="restart"/>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弃土场、卫生填埋场处置</w:t>
            </w:r>
          </w:p>
        </w:tc>
        <w:tc>
          <w:tcPr>
            <w:tcW w:w="2097" w:type="dxa"/>
            <w:vMerge w:val="restart"/>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减缓对环境的影响至可接受水平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238" w:type="dxa"/>
            <w:vMerge w:val="continue"/>
            <w:tcBorders>
              <w:bottom w:val="single" w:color="auto" w:sz="4" w:space="0"/>
            </w:tcBorders>
            <w:vAlign w:val="center"/>
          </w:tcPr>
          <w:p>
            <w:pPr>
              <w:spacing w:line="240" w:lineRule="auto"/>
              <w:jc w:val="center"/>
              <w:rPr>
                <w:rFonts w:ascii="Times New Roman" w:hAnsi="Times New Roman" w:cs="Times New Roman"/>
                <w:sz w:val="21"/>
                <w:szCs w:val="21"/>
              </w:rPr>
            </w:pPr>
          </w:p>
        </w:tc>
        <w:tc>
          <w:tcPr>
            <w:tcW w:w="2377"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废弃建筑材料</w:t>
            </w:r>
          </w:p>
        </w:tc>
        <w:tc>
          <w:tcPr>
            <w:tcW w:w="2315"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2097" w:type="dxa"/>
            <w:vMerge w:val="continue"/>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bottom w:val="single" w:color="auto" w:sz="4" w:space="0"/>
            </w:tcBorders>
            <w:vAlign w:val="center"/>
          </w:tcPr>
          <w:p>
            <w:pPr>
              <w:spacing w:line="240" w:lineRule="auto"/>
              <w:jc w:val="center"/>
              <w:rPr>
                <w:rFonts w:ascii="Times New Roman" w:hAnsi="Times New Roman" w:cs="Times New Roman"/>
                <w:sz w:val="21"/>
                <w:szCs w:val="21"/>
              </w:rPr>
            </w:pP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2377" w:type="dxa"/>
            <w:gridSpan w:val="2"/>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2315" w:type="dxa"/>
            <w:vMerge w:val="continue"/>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p>
        </w:tc>
        <w:tc>
          <w:tcPr>
            <w:tcW w:w="2097" w:type="dxa"/>
            <w:vMerge w:val="continue"/>
            <w:tcBorders>
              <w:top w:val="single" w:color="auto" w:sz="4" w:space="0"/>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运营期</w:t>
            </w: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生活垃圾</w:t>
            </w:r>
          </w:p>
        </w:tc>
        <w:tc>
          <w:tcPr>
            <w:tcW w:w="2377" w:type="dxa"/>
            <w:gridSpan w:val="2"/>
            <w:tcBorders>
              <w:top w:val="single" w:color="auto" w:sz="4" w:space="0"/>
              <w:bottom w:val="single" w:color="auto" w:sz="4" w:space="0"/>
            </w:tcBorders>
          </w:tcPr>
          <w:p>
            <w:pPr>
              <w:jc w:val="center"/>
              <w:rPr>
                <w:rFonts w:ascii="Times New Roman" w:hAnsi="Times New Roman" w:cs="Times New Roman"/>
                <w:sz w:val="21"/>
                <w:szCs w:val="21"/>
              </w:rPr>
            </w:pPr>
            <w:r>
              <w:rPr>
                <w:rFonts w:ascii="Times New Roman" w:hAnsi="Times New Roman" w:cs="Times New Roman"/>
                <w:kern w:val="0"/>
                <w:sz w:val="21"/>
                <w:szCs w:val="21"/>
                <w:lang w:bidi="ar"/>
              </w:rPr>
              <w:t>生活垃圾</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垃圾收集桶、垃圾</w:t>
            </w:r>
            <w:r>
              <w:rPr>
                <w:rFonts w:hint="eastAsia" w:ascii="Times New Roman" w:hAnsi="Times New Roman" w:cs="Times New Roman"/>
                <w:sz w:val="21"/>
                <w:szCs w:val="21"/>
              </w:rPr>
              <w:t>收集船</w:t>
            </w:r>
          </w:p>
        </w:tc>
        <w:tc>
          <w:tcPr>
            <w:tcW w:w="2097" w:type="dxa"/>
            <w:vMerge w:val="restart"/>
            <w:tcBorders>
              <w:top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符合相关环保要求，且在贮存中根据固废类型需符合《一般工业固体废物贮存、处置场污染控制标准》（GB18599-2001）及修改单要求，《危险废物贮存污染控制标准》（GB18597-2001）及修改单要求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食堂</w:t>
            </w:r>
          </w:p>
        </w:tc>
        <w:tc>
          <w:tcPr>
            <w:tcW w:w="2377" w:type="dxa"/>
            <w:gridSpan w:val="2"/>
            <w:tcBorders>
              <w:top w:val="single" w:color="auto" w:sz="4" w:space="0"/>
              <w:bottom w:val="single" w:color="auto" w:sz="4" w:space="0"/>
            </w:tcBorders>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餐余</w:t>
            </w:r>
          </w:p>
        </w:tc>
        <w:tc>
          <w:tcPr>
            <w:tcW w:w="2315"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餐余垃圾收集桶</w:t>
            </w: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化学</w:t>
            </w:r>
            <w:r>
              <w:rPr>
                <w:rFonts w:ascii="Times New Roman" w:hAnsi="Times New Roman" w:cs="Times New Roman"/>
                <w:sz w:val="21"/>
                <w:szCs w:val="21"/>
              </w:rPr>
              <w:t>实验室</w:t>
            </w:r>
          </w:p>
        </w:tc>
        <w:tc>
          <w:tcPr>
            <w:tcW w:w="2377" w:type="dxa"/>
            <w:gridSpan w:val="2"/>
            <w:tcBorders>
              <w:top w:val="single" w:color="auto" w:sz="4" w:space="0"/>
            </w:tcBorders>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危废污泥、废酸、废碱废包装容器、化学实验室清洗废液、生物培养基、</w:t>
            </w:r>
          </w:p>
        </w:tc>
        <w:tc>
          <w:tcPr>
            <w:tcW w:w="2315" w:type="dxa"/>
            <w:vMerge w:val="restart"/>
            <w:tcBorders>
              <w:top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分类收集，按要求对危废进行收集，然后按要求建设暂存库</w:t>
            </w: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tcBorders>
            <w:vAlign w:val="center"/>
          </w:tcPr>
          <w:p>
            <w:pPr>
              <w:spacing w:line="240" w:lineRule="auto"/>
              <w:jc w:val="center"/>
              <w:rPr>
                <w:rFonts w:ascii="Times New Roman" w:hAnsi="Times New Roman" w:cs="Times New Roman"/>
                <w:sz w:val="21"/>
                <w:szCs w:val="21"/>
              </w:rPr>
            </w:pPr>
          </w:p>
        </w:tc>
        <w:tc>
          <w:tcPr>
            <w:tcW w:w="479" w:type="dxa"/>
            <w:vMerge w:val="continue"/>
            <w:vAlign w:val="center"/>
          </w:tcPr>
          <w:p>
            <w:pPr>
              <w:spacing w:line="240" w:lineRule="auto"/>
              <w:jc w:val="center"/>
              <w:rPr>
                <w:rFonts w:ascii="Times New Roman" w:hAnsi="Times New Roman" w:cs="Times New Roman"/>
                <w:sz w:val="21"/>
                <w:szCs w:val="21"/>
              </w:rPr>
            </w:pP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污水处理站</w:t>
            </w:r>
            <w:r>
              <w:rPr>
                <w:rFonts w:ascii="Times New Roman" w:hAnsi="Times New Roman" w:cs="Times New Roman"/>
                <w:sz w:val="21"/>
                <w:szCs w:val="21"/>
              </w:rPr>
              <w:t>污泥</w:t>
            </w:r>
          </w:p>
        </w:tc>
        <w:tc>
          <w:tcPr>
            <w:tcW w:w="2377" w:type="dxa"/>
            <w:gridSpan w:val="2"/>
            <w:tcBorders>
              <w:bottom w:val="single" w:color="auto" w:sz="4" w:space="0"/>
            </w:tcBorders>
            <w:vAlign w:val="center"/>
          </w:tcPr>
          <w:p>
            <w:pPr>
              <w:jc w:val="center"/>
              <w:rPr>
                <w:rFonts w:ascii="Times New Roman" w:hAnsi="Times New Roman" w:cs="Times New Roman"/>
                <w:sz w:val="21"/>
                <w:szCs w:val="21"/>
              </w:rPr>
            </w:pPr>
            <w:r>
              <w:rPr>
                <w:rFonts w:hint="eastAsia" w:ascii="Times New Roman" w:hAnsi="Times New Roman" w:cs="Times New Roman"/>
                <w:sz w:val="21"/>
                <w:szCs w:val="21"/>
              </w:rPr>
              <w:t>一般污泥</w:t>
            </w:r>
          </w:p>
        </w:tc>
        <w:tc>
          <w:tcPr>
            <w:tcW w:w="2315" w:type="dxa"/>
            <w:vMerge w:val="continue"/>
            <w:vAlign w:val="center"/>
          </w:tcPr>
          <w:p>
            <w:pPr>
              <w:spacing w:line="240" w:lineRule="auto"/>
              <w:jc w:val="center"/>
              <w:rPr>
                <w:rFonts w:ascii="Times New Roman" w:hAnsi="Times New Roman" w:cs="Times New Roman"/>
                <w:sz w:val="21"/>
                <w:szCs w:val="21"/>
              </w:rPr>
            </w:pPr>
          </w:p>
        </w:tc>
        <w:tc>
          <w:tcPr>
            <w:tcW w:w="2097" w:type="dxa"/>
            <w:vMerge w:val="continue"/>
            <w:tcBorders>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0" w:type="dxa"/>
            <w:vMerge w:val="continue"/>
            <w:tcBorders>
              <w:left w:val="single" w:color="auto" w:sz="12" w:space="0"/>
              <w:bottom w:val="single" w:color="auto" w:sz="4" w:space="0"/>
            </w:tcBorders>
            <w:vAlign w:val="center"/>
          </w:tcPr>
          <w:p>
            <w:pPr>
              <w:spacing w:line="240" w:lineRule="auto"/>
              <w:jc w:val="center"/>
              <w:rPr>
                <w:rFonts w:ascii="Times New Roman" w:hAnsi="Times New Roman" w:cs="Times New Roman"/>
                <w:sz w:val="21"/>
                <w:szCs w:val="21"/>
              </w:rPr>
            </w:pPr>
          </w:p>
        </w:tc>
        <w:tc>
          <w:tcPr>
            <w:tcW w:w="479" w:type="dxa"/>
            <w:vMerge w:val="continue"/>
            <w:tcBorders>
              <w:bottom w:val="single" w:color="auto" w:sz="4" w:space="0"/>
            </w:tcBorders>
            <w:vAlign w:val="center"/>
          </w:tcPr>
          <w:p>
            <w:pPr>
              <w:spacing w:line="240" w:lineRule="auto"/>
              <w:jc w:val="center"/>
              <w:rPr>
                <w:rFonts w:ascii="Times New Roman" w:hAnsi="Times New Roman" w:cs="Times New Roman"/>
                <w:sz w:val="21"/>
                <w:szCs w:val="21"/>
              </w:rPr>
            </w:pPr>
          </w:p>
        </w:tc>
        <w:tc>
          <w:tcPr>
            <w:tcW w:w="1238" w:type="dxa"/>
            <w:tcBorders>
              <w:top w:val="single" w:color="auto" w:sz="4" w:space="0"/>
              <w:bottom w:val="single" w:color="auto" w:sz="4" w:space="0"/>
            </w:tcBorders>
            <w:vAlign w:val="center"/>
          </w:tcPr>
          <w:p>
            <w:pPr>
              <w:spacing w:line="240" w:lineRule="auto"/>
              <w:jc w:val="center"/>
              <w:rPr>
                <w:rFonts w:ascii="Times New Roman" w:hAnsi="Times New Roman" w:cs="Times New Roman"/>
                <w:sz w:val="21"/>
                <w:szCs w:val="21"/>
              </w:rPr>
            </w:pPr>
            <w:r>
              <w:rPr>
                <w:rFonts w:ascii="Times New Roman" w:hAnsi="Times New Roman" w:cs="Times New Roman"/>
                <w:sz w:val="21"/>
                <w:szCs w:val="21"/>
              </w:rPr>
              <w:t>医疗</w:t>
            </w:r>
            <w:r>
              <w:rPr>
                <w:rFonts w:hint="eastAsia" w:ascii="Times New Roman" w:hAnsi="Times New Roman" w:cs="Times New Roman"/>
                <w:sz w:val="21"/>
                <w:szCs w:val="21"/>
              </w:rPr>
              <w:t>保健</w:t>
            </w:r>
            <w:r>
              <w:rPr>
                <w:rFonts w:ascii="Times New Roman" w:hAnsi="Times New Roman" w:cs="Times New Roman"/>
                <w:sz w:val="21"/>
                <w:szCs w:val="21"/>
              </w:rPr>
              <w:t>室</w:t>
            </w:r>
          </w:p>
        </w:tc>
        <w:tc>
          <w:tcPr>
            <w:tcW w:w="2377" w:type="dxa"/>
            <w:gridSpan w:val="2"/>
            <w:tcBorders>
              <w:top w:val="single" w:color="auto" w:sz="4" w:space="0"/>
              <w:bottom w:val="single" w:color="auto" w:sz="4" w:space="0"/>
            </w:tcBorders>
            <w:vAlign w:val="center"/>
          </w:tcPr>
          <w:p>
            <w:pPr>
              <w:jc w:val="center"/>
              <w:rPr>
                <w:rFonts w:ascii="Times New Roman" w:hAnsi="Times New Roman" w:cs="Times New Roman"/>
                <w:kern w:val="0"/>
                <w:sz w:val="21"/>
                <w:szCs w:val="21"/>
                <w:lang w:bidi="ar"/>
              </w:rPr>
            </w:pPr>
            <w:r>
              <w:rPr>
                <w:rFonts w:ascii="Times New Roman" w:hAnsi="Times New Roman" w:cs="Times New Roman"/>
                <w:kern w:val="0"/>
                <w:sz w:val="21"/>
                <w:szCs w:val="21"/>
                <w:lang w:bidi="ar"/>
              </w:rPr>
              <w:t>医疗固废</w:t>
            </w:r>
          </w:p>
        </w:tc>
        <w:tc>
          <w:tcPr>
            <w:tcW w:w="2315" w:type="dxa"/>
            <w:vMerge w:val="continue"/>
            <w:tcBorders>
              <w:bottom w:val="single" w:color="auto" w:sz="4" w:space="0"/>
            </w:tcBorders>
            <w:vAlign w:val="center"/>
          </w:tcPr>
          <w:p>
            <w:pPr>
              <w:spacing w:line="240" w:lineRule="auto"/>
              <w:jc w:val="center"/>
              <w:rPr>
                <w:rFonts w:ascii="Times New Roman" w:hAnsi="Times New Roman" w:cs="Times New Roman"/>
                <w:sz w:val="21"/>
                <w:szCs w:val="21"/>
              </w:rPr>
            </w:pPr>
          </w:p>
        </w:tc>
        <w:tc>
          <w:tcPr>
            <w:tcW w:w="2097" w:type="dxa"/>
            <w:vMerge w:val="continue"/>
            <w:tcBorders>
              <w:bottom w:val="single" w:color="auto" w:sz="4" w:space="0"/>
              <w:right w:val="single" w:color="auto" w:sz="12" w:space="0"/>
            </w:tcBorders>
            <w:vAlign w:val="center"/>
          </w:tcPr>
          <w:p>
            <w:pPr>
              <w:spacing w:line="240" w:lineRule="auto"/>
              <w:jc w:val="center"/>
              <w:rPr>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7"/>
            <w:tcBorders>
              <w:left w:val="single" w:color="auto" w:sz="12" w:space="0"/>
              <w:bottom w:val="single" w:color="auto" w:sz="4" w:space="0"/>
              <w:right w:val="single" w:color="auto" w:sz="12" w:space="0"/>
            </w:tcBorders>
            <w:vAlign w:val="center"/>
          </w:tcPr>
          <w:p>
            <w:pPr>
              <w:spacing w:line="300" w:lineRule="exact"/>
              <w:rPr>
                <w:rFonts w:ascii="Times New Roman" w:hAnsi="Times New Roman"/>
              </w:rPr>
            </w:pPr>
            <w:r>
              <w:rPr>
                <w:rFonts w:ascii="Times New Roman" w:hAnsi="Times New Roman"/>
                <w:b/>
              </w:rPr>
              <w:t>生态保护措施及预期效果：</w:t>
            </w:r>
          </w:p>
          <w:p>
            <w:pPr>
              <w:spacing w:line="360" w:lineRule="auto"/>
              <w:ind w:firstLine="480" w:firstLineChars="200"/>
              <w:rPr>
                <w:rFonts w:ascii="Times New Roman" w:hAnsi="Times New Roman"/>
              </w:rPr>
            </w:pPr>
            <w:r>
              <w:rPr>
                <w:rFonts w:ascii="Times New Roman" w:hAnsi="Times New Roman"/>
              </w:rPr>
              <w:t>生态保护措施分为防护、补偿与恢复三个方面，本项目拟采取以下措施：</w:t>
            </w:r>
          </w:p>
          <w:p>
            <w:pPr>
              <w:spacing w:line="360" w:lineRule="auto"/>
              <w:ind w:firstLine="480" w:firstLineChars="200"/>
              <w:rPr>
                <w:rFonts w:ascii="Times New Roman" w:hAnsi="Times New Roman"/>
              </w:rPr>
            </w:pPr>
            <w:r>
              <w:rPr>
                <w:rFonts w:ascii="Times New Roman" w:hAnsi="Times New Roman"/>
              </w:rPr>
              <w:t>（1）施工时，及时疏导天雨时汇集的地表径流，施工场地周边修建疏水排水沟；对场地四周外缘边坡修筑护坡和挡土墙；路面及时硬化，同时应尽量避免在雨季进行土方开挖和填埋，以防止水土流失。工程土方量保持平衡，不从其他地区运土或弃土。</w:t>
            </w:r>
          </w:p>
          <w:p>
            <w:pPr>
              <w:spacing w:line="360" w:lineRule="auto"/>
              <w:ind w:firstLine="480" w:firstLineChars="200"/>
              <w:rPr>
                <w:rFonts w:ascii="Times New Roman" w:hAnsi="Times New Roman"/>
              </w:rPr>
            </w:pPr>
            <w:r>
              <w:rPr>
                <w:rFonts w:ascii="Times New Roman" w:hAnsi="Times New Roman"/>
              </w:rPr>
              <w:t>（2）加强绿化，进行专门的景观设计。根据相关要求和拟建区域功能，充分利用原有地形，设置集中绿地。</w:t>
            </w:r>
          </w:p>
          <w:p>
            <w:pPr>
              <w:ind w:firstLine="480" w:firstLineChars="200"/>
              <w:rPr>
                <w:rFonts w:ascii="Times New Roman" w:hAnsi="Times New Roman"/>
              </w:rPr>
            </w:pPr>
            <w:r>
              <w:rPr>
                <w:rFonts w:ascii="Times New Roman" w:hAnsi="Times New Roman"/>
              </w:rPr>
              <w:t>通过实施生态保护措施，加强生态补偿与恢复，可逐渐恢复本工程所在地的生态环境功能。</w:t>
            </w:r>
          </w:p>
          <w:p>
            <w:pPr>
              <w:pStyle w:val="32"/>
              <w:ind w:firstLine="480"/>
            </w:pPr>
          </w:p>
          <w:p>
            <w:pPr>
              <w:pStyle w:val="32"/>
              <w:ind w:firstLine="480"/>
            </w:pPr>
          </w:p>
          <w:p>
            <w:pPr>
              <w:pStyle w:val="32"/>
              <w:ind w:firstLine="480"/>
            </w:pPr>
          </w:p>
          <w:p>
            <w:pPr>
              <w:pStyle w:val="32"/>
              <w:ind w:firstLine="0" w:firstLineChars="0"/>
            </w:pPr>
          </w:p>
        </w:tc>
      </w:tr>
    </w:tbl>
    <w:p>
      <w:pPr>
        <w:pStyle w:val="4"/>
      </w:pPr>
      <w:bookmarkStart w:id="93" w:name="_Toc34059560"/>
      <w:r>
        <w:rPr>
          <w:rFonts w:hint="eastAsia"/>
        </w:rPr>
        <w:t>九、结论与建议</w:t>
      </w:r>
      <w:bookmarkEnd w:id="93"/>
    </w:p>
    <w:tbl>
      <w:tblPr>
        <w:tblStyle w:val="24"/>
        <w:tblW w:w="9286" w:type="dxa"/>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8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8522" w:type="dxa"/>
            <w:tcBorders>
              <w:tl2br w:val="nil"/>
              <w:tr2bl w:val="nil"/>
            </w:tcBorders>
          </w:tcPr>
          <w:p>
            <w:pPr>
              <w:pStyle w:val="5"/>
              <w:ind w:firstLine="562"/>
              <w:outlineLvl w:val="1"/>
              <w:rPr>
                <w:rFonts w:hint="default" w:ascii="Times New Roman" w:hAnsi="Times New Roman" w:cs="Times New Roman" w:eastAsiaTheme="minorEastAsia"/>
              </w:rPr>
            </w:pPr>
            <w:bookmarkStart w:id="94" w:name="_Toc34059561"/>
            <w:r>
              <w:rPr>
                <w:rFonts w:hint="default" w:ascii="Times New Roman" w:hAnsi="Times New Roman" w:cs="Times New Roman" w:eastAsiaTheme="minorEastAsia"/>
              </w:rPr>
              <w:t>1、项目概况</w:t>
            </w:r>
            <w:bookmarkEnd w:id="94"/>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bCs/>
                <w:szCs w:val="20"/>
              </w:rPr>
              <w:t>“</w:t>
            </w:r>
            <w:r>
              <w:rPr>
                <w:rFonts w:hint="default" w:ascii="Times New Roman" w:hAnsi="Times New Roman" w:cs="Times New Roman" w:eastAsiaTheme="minorEastAsia"/>
              </w:rPr>
              <w:t>木里港学校新建工程建设项目</w:t>
            </w:r>
            <w:r>
              <w:rPr>
                <w:rFonts w:hint="default" w:ascii="Times New Roman" w:hAnsi="Times New Roman" w:cs="Times New Roman" w:eastAsiaTheme="minorEastAsia"/>
                <w:bCs/>
                <w:szCs w:val="20"/>
              </w:rPr>
              <w:t>”由</w:t>
            </w:r>
            <w:r>
              <w:rPr>
                <w:rFonts w:hint="default" w:ascii="Times New Roman" w:hAnsi="Times New Roman" w:cs="Times New Roman" w:eastAsiaTheme="minorEastAsia"/>
              </w:rPr>
              <w:t>岳阳恒骏置业有限公司投资8000万元于岳阳经济技术开发区木里港管理处新园社区开工建设，属于新建项目。</w:t>
            </w:r>
            <w:r>
              <w:rPr>
                <w:rFonts w:hint="default" w:ascii="Times New Roman" w:hAnsi="Times New Roman" w:cs="Times New Roman" w:eastAsiaTheme="minorEastAsia"/>
                <w:szCs w:val="20"/>
              </w:rPr>
              <w:t>项目占地面积140136.06平方米，总建筑面积约为38007.35平方米，办学最高规模可达54个教学班，</w:t>
            </w:r>
            <w:r>
              <w:rPr>
                <w:rFonts w:hint="default" w:ascii="Times New Roman" w:hAnsi="Times New Roman" w:cs="Times New Roman" w:eastAsiaTheme="minorEastAsia"/>
                <w:szCs w:val="24"/>
              </w:rPr>
              <w:t>其中小学36个班，初中18个班，最高可容纳2520名学生，预计教职工人员约170人。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项目所在地市政污水管网目前已建成，但未与罗家坡污水处理厂连通。如项目建设过程中（运营前）污水管网还未与罗家坡污水处理厂接通，则需自建污水处理站，此污水处理站需处理整个学校的污水；如建设过程中（运营前）污水管网已与罗家坡污水处理厂接通，则无需建设污水处理站，本项目污水通过市政污水管网排至罗家坡污水处理厂处理。</w:t>
            </w:r>
          </w:p>
          <w:p>
            <w:pPr>
              <w:pStyle w:val="5"/>
              <w:ind w:firstLine="562"/>
              <w:outlineLvl w:val="1"/>
              <w:rPr>
                <w:rFonts w:hint="default" w:ascii="Times New Roman" w:hAnsi="Times New Roman" w:cs="Times New Roman" w:eastAsiaTheme="minorEastAsia"/>
              </w:rPr>
            </w:pPr>
            <w:bookmarkStart w:id="95" w:name="_Toc34059562"/>
            <w:r>
              <w:rPr>
                <w:rFonts w:hint="default" w:ascii="Times New Roman" w:hAnsi="Times New Roman" w:cs="Times New Roman" w:eastAsiaTheme="minorEastAsia"/>
              </w:rPr>
              <w:t>2、项目建设合理性</w:t>
            </w:r>
            <w:bookmarkEnd w:id="95"/>
            <w:r>
              <w:rPr>
                <w:rFonts w:hint="default" w:ascii="Times New Roman" w:hAnsi="Times New Roman" w:cs="Times New Roman" w:eastAsiaTheme="minorEastAsia"/>
              </w:rPr>
              <w:t xml:space="preserve">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本项目选址位于</w:t>
            </w:r>
            <w:r>
              <w:rPr>
                <w:rFonts w:hint="default" w:ascii="Times New Roman" w:hAnsi="Times New Roman" w:cs="Times New Roman" w:eastAsiaTheme="minorEastAsia"/>
              </w:rPr>
              <w:t>岳阳经济技术开发区木里港管理处新园社区</w:t>
            </w:r>
            <w:r>
              <w:rPr>
                <w:rFonts w:hint="default" w:ascii="Times New Roman" w:hAnsi="Times New Roman" w:cs="Times New Roman" w:eastAsiaTheme="minorEastAsia"/>
                <w:szCs w:val="24"/>
              </w:rPr>
              <w:t>，项目位于长岭头路（已建）以西，规划新华路以北。根据《木里港片区控制性详细规划总图》见附图5，该项目用地性质为中小学用地，故项目选址建设符合木里港片区相关规划选址要求。</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本项目建设运营为普通小学、初中教育，根据《产业结构调整指导目录（2011年本）（2013年修订）》，项目建设不属于目录中的“鼓励类、限制类、淘汰类”，为允许发展的项目。项目建设符合国家相关产业政策要求。</w:t>
            </w:r>
          </w:p>
          <w:p>
            <w:pPr>
              <w:pStyle w:val="5"/>
              <w:ind w:firstLine="562"/>
              <w:outlineLvl w:val="1"/>
              <w:rPr>
                <w:rFonts w:hint="default" w:ascii="Times New Roman" w:hAnsi="Times New Roman" w:cs="Times New Roman" w:eastAsiaTheme="minorEastAsia"/>
              </w:rPr>
            </w:pPr>
            <w:bookmarkStart w:id="96" w:name="_Toc34059563"/>
            <w:r>
              <w:rPr>
                <w:rFonts w:hint="default" w:ascii="Times New Roman" w:hAnsi="Times New Roman" w:cs="Times New Roman" w:eastAsiaTheme="minorEastAsia"/>
              </w:rPr>
              <w:t>3、区域环境质量结论</w:t>
            </w:r>
            <w:bookmarkEnd w:id="96"/>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（1）环境空气：本次收集了《岳阳市二〇一八年度环境质量公报》的数据，SO</w:t>
            </w:r>
            <w:r>
              <w:rPr>
                <w:rFonts w:hint="default" w:ascii="Times New Roman" w:hAnsi="Times New Roman" w:cs="Times New Roman" w:eastAsiaTheme="minorEastAsia"/>
                <w:szCs w:val="24"/>
                <w:vertAlign w:val="subscript"/>
              </w:rPr>
              <w:t>2</w:t>
            </w:r>
            <w:r>
              <w:rPr>
                <w:rFonts w:hint="default" w:ascii="Times New Roman" w:hAnsi="Times New Roman" w:cs="Times New Roman" w:eastAsiaTheme="minorEastAsia"/>
                <w:szCs w:val="24"/>
              </w:rPr>
              <w:t>、NO</w:t>
            </w:r>
            <w:r>
              <w:rPr>
                <w:rFonts w:hint="default" w:ascii="Times New Roman" w:hAnsi="Times New Roman" w:cs="Times New Roman" w:eastAsiaTheme="minorEastAsia"/>
                <w:szCs w:val="24"/>
                <w:vertAlign w:val="subscript"/>
              </w:rPr>
              <w:t>2</w:t>
            </w:r>
            <w:r>
              <w:rPr>
                <w:rFonts w:hint="default" w:ascii="Times New Roman" w:hAnsi="Times New Roman" w:cs="Times New Roman" w:eastAsiaTheme="minorEastAsia"/>
                <w:szCs w:val="24"/>
              </w:rPr>
              <w:t>、CO 和 O</w:t>
            </w:r>
            <w:r>
              <w:rPr>
                <w:rFonts w:hint="default" w:ascii="Times New Roman" w:hAnsi="Times New Roman" w:cs="Times New Roman" w:eastAsiaTheme="minorEastAsia"/>
                <w:szCs w:val="24"/>
                <w:vertAlign w:val="subscript"/>
              </w:rPr>
              <w:t>3</w:t>
            </w:r>
            <w:r>
              <w:rPr>
                <w:rFonts w:hint="default" w:ascii="Times New Roman" w:hAnsi="Times New Roman" w:cs="Times New Roman" w:eastAsiaTheme="minorEastAsia"/>
                <w:szCs w:val="24"/>
              </w:rPr>
              <w:t>年平均浓度能满足二类区要求，PM</w:t>
            </w:r>
            <w:r>
              <w:rPr>
                <w:rFonts w:hint="default" w:ascii="Times New Roman" w:hAnsi="Times New Roman" w:cs="Times New Roman" w:eastAsiaTheme="minorEastAsia"/>
                <w:szCs w:val="24"/>
                <w:vertAlign w:val="subscript"/>
              </w:rPr>
              <w:t>10</w:t>
            </w:r>
            <w:r>
              <w:rPr>
                <w:rFonts w:hint="default" w:ascii="Times New Roman" w:hAnsi="Times New Roman" w:cs="Times New Roman" w:eastAsiaTheme="minorEastAsia"/>
                <w:szCs w:val="24"/>
              </w:rPr>
              <w:t>和PM</w:t>
            </w:r>
            <w:r>
              <w:rPr>
                <w:rFonts w:hint="default" w:ascii="Times New Roman" w:hAnsi="Times New Roman" w:cs="Times New Roman" w:eastAsiaTheme="minorEastAsia"/>
                <w:szCs w:val="24"/>
                <w:vertAlign w:val="subscript"/>
              </w:rPr>
              <w:t>2.5</w:t>
            </w:r>
            <w:r>
              <w:rPr>
                <w:rFonts w:hint="default" w:ascii="Times New Roman" w:hAnsi="Times New Roman" w:cs="Times New Roman" w:eastAsiaTheme="minorEastAsia"/>
                <w:szCs w:val="24"/>
              </w:rPr>
              <w:t>年平均质量浓度分别为72μg/m³、45μg/m³不能满足《环境空气质量标准》（GB3095-2012）中的二级标准。岳阳市属于不达标区。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并引用了湖南乾诚检测有限公司于2019年09月23日~29日对项目所在场地及项目周边居民点大气环境质量监测数据（监测因子有NH</w:t>
            </w:r>
            <w:r>
              <w:rPr>
                <w:rFonts w:hint="default" w:ascii="Times New Roman" w:hAnsi="Times New Roman" w:cs="Times New Roman" w:eastAsiaTheme="minorEastAsia"/>
                <w:szCs w:val="24"/>
                <w:vertAlign w:val="subscript"/>
              </w:rPr>
              <w:t>3</w:t>
            </w:r>
            <w:r>
              <w:rPr>
                <w:rFonts w:hint="default" w:ascii="Times New Roman" w:hAnsi="Times New Roman" w:cs="Times New Roman" w:eastAsiaTheme="minorEastAsia"/>
                <w:szCs w:val="24"/>
              </w:rPr>
              <w:t>、H</w:t>
            </w:r>
            <w:r>
              <w:rPr>
                <w:rFonts w:hint="default" w:ascii="Times New Roman" w:hAnsi="Times New Roman" w:cs="Times New Roman" w:eastAsiaTheme="minorEastAsia"/>
                <w:szCs w:val="24"/>
                <w:vertAlign w:val="subscript"/>
              </w:rPr>
              <w:t>2</w:t>
            </w:r>
            <w:r>
              <w:rPr>
                <w:rFonts w:hint="default" w:ascii="Times New Roman" w:hAnsi="Times New Roman" w:cs="Times New Roman" w:eastAsiaTheme="minorEastAsia"/>
                <w:szCs w:val="24"/>
              </w:rPr>
              <w:t>S）。其监测结果能满足《环境影响评价技术导则--大气环境》（HJ2.2-2018）附录D“其他污染物空气质量浓度参考限值”要求。</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地表水环境</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①北港河：根据《岳阳经济技术开发区南港河、北港河流域综合整治工程》中对北港河的水环境现状监测，北港河PH、氨氮、化学需氧量均超标。</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②南湖：项目所在地南湖除总磷、总氮超标外各监测因子均能满足《地表水环境质量标准》（GB3838-2002）Ⅲ类标准要求。本评价统计了岳阳市近三年的环境公报中南湖的水质情况，南湖水质比较稳定。</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（3）声环境：项目厂界东侧、南侧、北侧噪声监测值能满足《声环境质量标准》（GB3096-2008）中2类标准（昼间≤60 dB（A），夜间≤50 dB（A））； </w:t>
            </w:r>
          </w:p>
          <w:p>
            <w:pPr>
              <w:pStyle w:val="6"/>
              <w:ind w:firstLine="482"/>
              <w:outlineLvl w:val="2"/>
              <w:rPr>
                <w:rFonts w:hint="default" w:ascii="Times New Roman" w:hAnsi="Times New Roman" w:cs="Times New Roman" w:eastAsiaTheme="minorEastAsia"/>
              </w:rPr>
            </w:pPr>
            <w:bookmarkStart w:id="97" w:name="_Toc34059564"/>
            <w:r>
              <w:rPr>
                <w:rFonts w:hint="default" w:ascii="Times New Roman" w:hAnsi="Times New Roman" w:cs="Times New Roman" w:eastAsiaTheme="minorEastAsia"/>
              </w:rPr>
              <w:t>4.1施工期环境影响分析结论</w:t>
            </w:r>
            <w:bookmarkEnd w:id="97"/>
          </w:p>
          <w:p>
            <w:pPr>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（1）大气环境影响分析结论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施工期产生的扬尘严格按照环评提出的抑尘措施、施工开挖裸露土及时进行回填或覆盖措施，加强施工工地洒水降尘等措施可有效降低施工期扬尘的影响。</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施工期装修装饰有机废气、施工机械及车辆尾气经大气扩散，不会对周边大气环境噪声影响。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（2）水环境影响分析结论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项目施工期产生的废水为建筑施工污水。建筑施工污水经隔油沉淀池处理后用于施工场地及道路洒水扬尘，不外排。施工人员产生的生活污水经隔油池、化粪池处理后由市政单位外运，不影响周边地表水环境质量。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（3）声环境影响分析结论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施工期间的噪声主要有施工机械噪声、施工作业噪声和运输车辆产生的交通噪声。施工机械噪声主要由施工机械所造成，如推土机、挖掘机、打桩机、升降机、混凝土搅拌机和振捣器等，多为点声源；施工作业噪声主要指一些零星的敲打声、装卸车辆的撞击声、吆喝声、拆装模板的撞击声等，多为瞬时噪声。施工期的噪声较强，但经过必要的措施之后，不会影响附近居民和办公人员的日常生活。确保施工场界噪声排放达到《建筑施工场界环境噪声排放标准》（GB12523-2011）中的要求，对周围声环境影响不大。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（4）固体废物影响分析结论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项目施工过程产生部分弃土，送往渣土部门指定处置场所，场地清理及废水处理设施施工过程中产生的废弃石块等建筑材料，统一收集后拉运至指定场所处置；施工人员生活垃圾收集后由环卫部门清运处理</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 xml:space="preserve">（5）生态环境影响分析结论 </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施工期对生态环境的影响主要是水土流失影响，采取水土保持措施后，可以减少施工 期造成的水土流失，新增水土流失能得到有效控制；施工结束后完善校园绿化建设，校园建筑风格及色调选用与周边景观相协调的格调，对周边景观影响不大。</w:t>
            </w:r>
          </w:p>
          <w:p>
            <w:pPr>
              <w:pStyle w:val="6"/>
              <w:ind w:firstLine="482"/>
              <w:outlineLvl w:val="2"/>
              <w:rPr>
                <w:rFonts w:hint="default" w:ascii="Times New Roman" w:hAnsi="Times New Roman" w:cs="Times New Roman" w:eastAsiaTheme="minorEastAsia"/>
              </w:rPr>
            </w:pPr>
            <w:bookmarkStart w:id="98" w:name="_Toc34059565"/>
            <w:r>
              <w:rPr>
                <w:rFonts w:hint="default" w:ascii="Times New Roman" w:hAnsi="Times New Roman" w:cs="Times New Roman" w:eastAsiaTheme="minorEastAsia"/>
              </w:rPr>
              <w:t>4.2营运期环境影响分析</w:t>
            </w:r>
            <w:bookmarkEnd w:id="98"/>
          </w:p>
          <w:p>
            <w:pPr>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（1）大气环境影响评价结论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建设项目运营期产生的废气主要为油烟废气，实验室废气、地下车库汽车尾气及与污水处理站臭气。针对油烟废气采取高效油烟净化器净化处理，使其达到《饮食业油烟排放标准》（试行）GB18483-2001;针对实验室废气（通过通风橱及竖井处理）和地下车库废气（通过排烟系统处理），执行《大气污染物综合排放标准》（GB16297-1996）中的二级标准；针对污水处理站臭气（投加除臭剂及周边绿化吸收），执行《恶臭污染物排放标准》（GB14554-93）中二级新改扩建标准。</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通过采取以上措施，可使以上废气得到有效处理，其排放对周边大气环境影响较小。</w:t>
            </w:r>
          </w:p>
          <w:p>
            <w:pPr>
              <w:pStyle w:val="38"/>
              <w:numPr>
                <w:ilvl w:val="0"/>
                <w:numId w:val="11"/>
              </w:numPr>
              <w:ind w:firstLineChars="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地表水环境影响评价结论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本项目产生的废水主要为生活污水、食堂污水（经过隔油沉淀池处理）、实验室废水（化学实验室废水经过实验室废水处理设施和中和沉淀池处理；生物实验室经过消毒沉淀池处理）各自经过预处理后，一同进入化粪池处理然后执行I、在污水管网接通罗家坡污水处理厂前先经自建污水处理站处理达《城镇污水处理厂污染物排放标准》（GB18918-2002）一级A标准后排至北港河，最后进入南湖；Ⅱ、在污水管网接通罗家坡污水处理厂后，经污水管网进入罗家坡污水处理厂处理，达到《城镇污水处理厂污染物排放标准》（GB18918-2002）一级A标准后排至北港河，最终排至南湖。（项目所在地市政污水管网已建好，但未与罗家坡污水处理厂接通。）</w:t>
            </w:r>
          </w:p>
          <w:p>
            <w:pPr>
              <w:pStyle w:val="38"/>
              <w:numPr>
                <w:ilvl w:val="0"/>
                <w:numId w:val="11"/>
              </w:numPr>
              <w:ind w:firstLineChars="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噪声环境影响评价结论</w:t>
            </w:r>
          </w:p>
          <w:p>
            <w:pPr>
              <w:ind w:firstLine="480" w:firstLineChars="20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本项目噪声主要为汽车噪声、机械设备噪声、教学生活噪声。在切实落实各项环保要求的前提下，本项目噪声对周边环境影响较小。</w:t>
            </w:r>
          </w:p>
          <w:p>
            <w:pPr>
              <w:pStyle w:val="38"/>
              <w:numPr>
                <w:ilvl w:val="0"/>
                <w:numId w:val="11"/>
              </w:numPr>
              <w:ind w:firstLineChars="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营运期固废环境影响评价结论：</w:t>
            </w:r>
          </w:p>
          <w:p>
            <w:pPr>
              <w:pStyle w:val="38"/>
              <w:ind w:firstLine="480"/>
              <w:rPr>
                <w:rFonts w:hint="default" w:ascii="Times New Roman" w:hAnsi="Times New Roman" w:cs="Times New Roman" w:eastAsiaTheme="minorEastAsia"/>
                <w:szCs w:val="24"/>
              </w:rPr>
            </w:pPr>
            <w:r>
              <w:rPr>
                <w:rFonts w:hint="default" w:ascii="Times New Roman" w:hAnsi="Times New Roman" w:cs="Times New Roman" w:eastAsiaTheme="minorEastAsia"/>
                <w:szCs w:val="24"/>
              </w:rPr>
              <w:t>建设项目运营期固废主要有生活垃圾、餐厨垃圾、实验室固废、废水处理设施处理废水过程中产生的污泥和医疗室产生的医疗固废。在切实落实各项环保要求的前提下，本项目固废对周边环境影响较小。</w:t>
            </w:r>
          </w:p>
          <w:p>
            <w:pPr>
              <w:pStyle w:val="5"/>
              <w:ind w:firstLine="562"/>
              <w:outlineLvl w:val="1"/>
              <w:rPr>
                <w:rFonts w:hint="default" w:ascii="Times New Roman" w:hAnsi="Times New Roman" w:cs="Times New Roman" w:eastAsiaTheme="minorEastAsia"/>
              </w:rPr>
            </w:pPr>
            <w:bookmarkStart w:id="99" w:name="_Toc34059566"/>
            <w:r>
              <w:rPr>
                <w:rFonts w:hint="default" w:ascii="Times New Roman" w:hAnsi="Times New Roman" w:cs="Times New Roman" w:eastAsiaTheme="minorEastAsia"/>
              </w:rPr>
              <w:t>5、选址合理性结论</w:t>
            </w:r>
            <w:bookmarkEnd w:id="99"/>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选址地周边有零散居民，场地现状为低丘荒地，地势较平坦，地势较平坦，无大型化工企业，产生的气型污染物较少。项目建成后居民的生活对选址环境质量无特殊要求，选址内环境质量不会影响本项目运营期产生影响。</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根据木里港片区控制性详细规划图，项目所在地用地性质为中小学用地，本项目属于教育项目，符合木里港片区总体规划要求，通过实施本项目，以教育为主要功能得到良好体现，符合相关发展规划。本项目选址合理。</w:t>
            </w:r>
          </w:p>
          <w:p>
            <w:pPr>
              <w:pStyle w:val="5"/>
              <w:ind w:firstLine="562"/>
              <w:outlineLvl w:val="1"/>
              <w:rPr>
                <w:rFonts w:hint="default" w:ascii="Times New Roman" w:hAnsi="Times New Roman" w:cs="Times New Roman" w:eastAsiaTheme="minorEastAsia"/>
              </w:rPr>
            </w:pPr>
            <w:bookmarkStart w:id="100" w:name="_Toc34059567"/>
            <w:r>
              <w:rPr>
                <w:rFonts w:hint="default" w:ascii="Times New Roman" w:hAnsi="Times New Roman" w:cs="Times New Roman" w:eastAsiaTheme="minorEastAsia"/>
              </w:rPr>
              <w:t>6、“三线一单”相符性分析结论</w:t>
            </w:r>
            <w:bookmarkEnd w:id="100"/>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根据环保部《关于以改善环境质量为核心加强环境影响评价管理的通知》，要求切实加强环境影响评价管理，落实“生态保护红线、环境质量底线、资源利用上线和环境准图负面清单”约束，本项目的建设没有触犯“三线一单”的要求。</w:t>
            </w:r>
          </w:p>
          <w:p>
            <w:pPr>
              <w:pStyle w:val="5"/>
              <w:ind w:firstLine="562"/>
              <w:outlineLvl w:val="1"/>
              <w:rPr>
                <w:rFonts w:hint="default" w:ascii="Times New Roman" w:hAnsi="Times New Roman" w:cs="Times New Roman" w:eastAsiaTheme="minorEastAsia"/>
              </w:rPr>
            </w:pPr>
            <w:bookmarkStart w:id="101" w:name="_Toc34059568"/>
            <w:r>
              <w:rPr>
                <w:rFonts w:hint="default" w:ascii="Times New Roman" w:hAnsi="Times New Roman" w:cs="Times New Roman" w:eastAsiaTheme="minorEastAsia"/>
              </w:rPr>
              <w:t>7、环评总结论</w:t>
            </w:r>
            <w:bookmarkEnd w:id="101"/>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本项目符合国家产业政策，选址合理，在认真贯彻“三同时”制度的前提下，落实好对废气、废水、噪声和固体废物等污染物的处理措施后，各项污染物可达标排放，对环境的影响是可以接受的，因此本项目从环保角度是可行的。</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上述结论是根据建设方提供的项目规模及相应排污情况基础上作出的评价，如果建设方的规模及相应排污情况有所变化，建设方应按环保部门的要求另行申报审批。</w:t>
            </w:r>
          </w:p>
          <w:p>
            <w:pPr>
              <w:ind w:firstLine="562" w:firstLineChars="200"/>
              <w:rPr>
                <w:rFonts w:hint="default" w:ascii="Times New Roman" w:hAnsi="Times New Roman" w:cs="Times New Roman" w:eastAsiaTheme="minorEastAsia"/>
              </w:rPr>
            </w:pPr>
            <w:r>
              <w:rPr>
                <w:rFonts w:hint="default" w:ascii="Times New Roman" w:hAnsi="Times New Roman" w:cs="Times New Roman" w:eastAsiaTheme="minorEastAsia"/>
                <w:b/>
                <w:sz w:val="28"/>
              </w:rPr>
              <w:t>8、建议</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1、严格执行“三同时”制度，各项环保设施要与主体工程同时设计、同时施工、同时投入使用。加强环保设施的管理，防止生活污水未经处理或超标排放。</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2、严格施工管理，采取有效的措施防止建筑噪声、建筑粉尘、建筑废水和建筑废物污染周边环境。建筑噪声必须依据《中华人民共和国环境噪声污染防治法》第四章《建筑噪声污染防治》所规定的有关条款进行控制，保证边界噪声达标排放。另外，应定时洒水，使作业面保持一定的湿度，减少建筑粉尘。固体废弃物必须及时清运，合理堆存。</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3、项目施工期做好水土保持方案，施工期严格按照方案执行。</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4、工程建设期间应做到标准化管理，将环境保护列入施工招标的重要条件之一，保证施工质量，减少施工对环境的影响。</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5、做好油烟净化设施的维护，确保厨房油烟达标排放；控制进入规划用地内的机动车数量，减少汽车尾气对环境空气质量的影响。</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6、加强生活污水处理设施的管理，定期清污，清淤周期不得超过设计周期，确保污水达标排放。</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7、建议建设单位对固体废弃物实行分类管理；对食物残渣委托有关单位及时处理，防止腐化变质，产生臭气异味污染环境。</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8、加强宣传教育，提倡节约用水，生活垃圾分类袋装，实现废物资源化，减量化。</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9、工程建设完工后，务必经环境保护行政主管部门验收合格后方可投入运营。</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10、考虑到本项目主要功能为教学，建议建设单位的停车位按学校教职工数量进行配置，且严格控制社会车辆进入。</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11、不得在项目附属建筑物内设置建设酒店、居民住宅区、KTV等场所。</w:t>
            </w:r>
          </w:p>
          <w:p>
            <w:pPr>
              <w:pStyle w:val="36"/>
              <w:adjustRightInd w:val="0"/>
              <w:snapToGrid w:val="0"/>
              <w:spacing w:line="360" w:lineRule="auto"/>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12、建设单位建设塑胶运动场质量标准必须符合《中小学合成材料面层运动场地》（GB36246-2018）及其他相关标准要求。</w:t>
            </w:r>
          </w:p>
          <w:p>
            <w:pPr>
              <w:pStyle w:val="36"/>
              <w:adjustRightInd w:val="0"/>
              <w:snapToGrid w:val="0"/>
              <w:spacing w:line="360" w:lineRule="auto"/>
              <w:ind w:firstLine="480" w:firstLineChars="200"/>
              <w:rPr>
                <w:rFonts w:hint="default" w:ascii="Times New Roman" w:hAnsi="Times New Roman" w:cs="Times New Roman" w:eastAsiaTheme="minorEastAsia"/>
                <w:lang w:eastAsia="zh-CN"/>
              </w:rPr>
            </w:pPr>
            <w:r>
              <w:rPr>
                <w:rFonts w:hint="default" w:ascii="Times New Roman" w:hAnsi="Times New Roman" w:cs="Times New Roman" w:eastAsiaTheme="minorEastAsia"/>
              </w:rPr>
              <w:t>13、考虑到项目区域学生、教职工人数较多，建议安装学校教职工人数适当增加停车位</w:t>
            </w:r>
            <w:r>
              <w:rPr>
                <w:rFonts w:hint="default" w:ascii="Times New Roman" w:hAnsi="Times New Roman" w:cs="Times New Roman" w:eastAsiaTheme="minorEastAsia"/>
                <w:lang w:eastAsia="zh-CN"/>
              </w:rPr>
              <w:t>。</w:t>
            </w:r>
          </w:p>
          <w:p>
            <w:pPr>
              <w:pStyle w:val="36"/>
              <w:adjustRightInd w:val="0"/>
              <w:snapToGrid w:val="0"/>
              <w:spacing w:line="360" w:lineRule="auto"/>
              <w:ind w:firstLine="480" w:firstLineChars="200"/>
              <w:rPr>
                <w:rFonts w:hint="default" w:ascii="Times New Roman" w:hAnsi="Times New Roman" w:cs="Times New Roman" w:eastAsiaTheme="minorEastAsia"/>
                <w:lang w:eastAsia="zh-CN"/>
              </w:rPr>
            </w:pPr>
            <w:r>
              <w:rPr>
                <w:rFonts w:hint="default" w:ascii="Times New Roman" w:hAnsi="Times New Roman" w:cs="Times New Roman" w:eastAsiaTheme="minorEastAsia"/>
                <w:lang w:val="en-US" w:eastAsia="zh-CN"/>
              </w:rPr>
              <w:t>14、</w:t>
            </w:r>
            <w:r>
              <w:rPr>
                <w:rFonts w:hint="default" w:ascii="Times New Roman" w:hAnsi="Times New Roman" w:cs="Times New Roman" w:eastAsiaTheme="minorEastAsia"/>
                <w:lang w:eastAsia="zh-CN"/>
              </w:rPr>
              <w:t>如建设过程中（运营前）污水管网已与罗家坡污水处理厂接通，则无需建设污水处理站，本项目污水通过市政污水管网排至罗家坡污水处理厂处理。建设单位应督促政府加快污水管网的完善，污水应尽量进入城市污水处理厂处理，不宜自行处理。</w:t>
            </w:r>
          </w:p>
          <w:p>
            <w:pPr>
              <w:pStyle w:val="36"/>
              <w:adjustRightInd w:val="0"/>
              <w:snapToGrid w:val="0"/>
              <w:spacing w:line="360" w:lineRule="auto"/>
              <w:ind w:firstLine="480" w:firstLineChars="200"/>
              <w:rPr>
                <w:rFonts w:hint="default" w:ascii="Times New Roman" w:hAnsi="Times New Roman" w:cs="Times New Roman" w:eastAsiaTheme="minorEastAsia"/>
                <w:lang w:val="en-US" w:eastAsia="zh-CN"/>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spacing w:line="360" w:lineRule="auto"/>
              <w:rPr>
                <w:rFonts w:hint="default" w:ascii="Times New Roman" w:hAnsi="Times New Roman" w:cs="Times New Roman" w:eastAsiaTheme="minorEastAsia"/>
                <w:kern w:val="24"/>
                <w:sz w:val="28"/>
              </w:rPr>
            </w:pPr>
            <w:r>
              <w:rPr>
                <w:rFonts w:hint="default" w:ascii="Times New Roman" w:hAnsi="Times New Roman" w:cs="Times New Roman" w:eastAsiaTheme="minorEastAsia"/>
                <w:sz w:val="28"/>
              </w:rPr>
              <w:t>预审意见：</w:t>
            </w:r>
          </w:p>
          <w:p>
            <w:pPr>
              <w:snapToGrid w:val="0"/>
              <w:spacing w:before="120"/>
              <w:ind w:left="113" w:right="113"/>
              <w:rPr>
                <w:rFonts w:hint="default" w:ascii="Times New Roman" w:hAnsi="Times New Roman" w:cs="Times New Roman" w:eastAsiaTheme="minorEastAsia"/>
                <w:kern w:val="24"/>
                <w:sz w:val="28"/>
              </w:rPr>
            </w:pPr>
          </w:p>
          <w:p>
            <w:pPr>
              <w:snapToGrid w:val="0"/>
              <w:spacing w:before="120"/>
              <w:ind w:left="113" w:right="113"/>
              <w:rPr>
                <w:rFonts w:hint="default" w:ascii="Times New Roman" w:hAnsi="Times New Roman" w:cs="Times New Roman" w:eastAsiaTheme="minorEastAsia"/>
                <w:kern w:val="24"/>
                <w:sz w:val="28"/>
              </w:rPr>
            </w:pPr>
          </w:p>
          <w:p>
            <w:pPr>
              <w:snapToGrid w:val="0"/>
              <w:spacing w:before="120"/>
              <w:ind w:left="113" w:right="113"/>
              <w:rPr>
                <w:rFonts w:hint="default" w:ascii="Times New Roman" w:hAnsi="Times New Roman" w:cs="Times New Roman" w:eastAsiaTheme="minorEastAsia"/>
                <w:kern w:val="24"/>
                <w:sz w:val="28"/>
              </w:rPr>
            </w:pPr>
          </w:p>
          <w:p>
            <w:pPr>
              <w:snapToGrid w:val="0"/>
              <w:spacing w:before="120"/>
              <w:ind w:left="113" w:right="113"/>
              <w:rPr>
                <w:rFonts w:hint="default" w:ascii="Times New Roman" w:hAnsi="Times New Roman" w:cs="Times New Roman" w:eastAsiaTheme="minorEastAsia"/>
              </w:rPr>
            </w:pPr>
          </w:p>
          <w:p>
            <w:pPr>
              <w:pStyle w:val="32"/>
              <w:ind w:firstLine="480"/>
              <w:rPr>
                <w:rFonts w:hint="default" w:ascii="Times New Roman" w:hAnsi="Times New Roman" w:cs="Times New Roman" w:eastAsiaTheme="minorEastAsia"/>
              </w:rPr>
            </w:pPr>
          </w:p>
          <w:p>
            <w:pPr>
              <w:pStyle w:val="32"/>
              <w:ind w:firstLine="480"/>
              <w:rPr>
                <w:rFonts w:hint="default" w:ascii="Times New Roman" w:hAnsi="Times New Roman" w:cs="Times New Roman" w:eastAsiaTheme="minorEastAsia"/>
              </w:rPr>
            </w:pPr>
          </w:p>
          <w:p>
            <w:pPr>
              <w:pStyle w:val="32"/>
              <w:ind w:firstLine="480"/>
              <w:rPr>
                <w:rFonts w:hint="default" w:ascii="Times New Roman" w:hAnsi="Times New Roman" w:cs="Times New Roman" w:eastAsiaTheme="minorEastAsia"/>
              </w:rPr>
            </w:pPr>
          </w:p>
          <w:p>
            <w:pPr>
              <w:snapToGrid w:val="0"/>
              <w:spacing w:before="120"/>
              <w:ind w:left="113" w:right="113"/>
              <w:rPr>
                <w:rFonts w:hint="default" w:ascii="Times New Roman" w:hAnsi="Times New Roman" w:cs="Times New Roman" w:eastAsiaTheme="minorEastAsia"/>
                <w:b/>
                <w:kern w:val="24"/>
              </w:rPr>
            </w:pPr>
            <w:r>
              <w:rPr>
                <w:rFonts w:hint="default" w:ascii="Times New Roman" w:hAnsi="Times New Roman" w:cs="Times New Roman" w:eastAsiaTheme="minorEastAsia"/>
              </w:rPr>
              <w:t xml:space="preserve">                                        </w:t>
            </w:r>
            <w:r>
              <w:rPr>
                <w:rFonts w:hint="default" w:ascii="Times New Roman" w:hAnsi="Times New Roman" w:cs="Times New Roman" w:eastAsiaTheme="minorEastAsia"/>
                <w:b/>
              </w:rPr>
              <w:t xml:space="preserve">                 公章</w:t>
            </w:r>
          </w:p>
          <w:p>
            <w:pPr>
              <w:snapToGrid w:val="0"/>
              <w:spacing w:before="120"/>
              <w:ind w:left="113" w:right="113"/>
              <w:rPr>
                <w:rFonts w:hint="default" w:ascii="Times New Roman" w:hAnsi="Times New Roman" w:cs="Times New Roman" w:eastAsiaTheme="minorEastAsia"/>
                <w:b/>
                <w:kern w:val="24"/>
              </w:rPr>
            </w:pPr>
          </w:p>
          <w:p>
            <w:pPr>
              <w:snapToGrid w:val="0"/>
              <w:spacing w:before="120"/>
              <w:ind w:left="113" w:right="113"/>
              <w:rPr>
                <w:rFonts w:hint="default" w:ascii="Times New Roman" w:hAnsi="Times New Roman" w:cs="Times New Roman" w:eastAsiaTheme="minorEastAsia"/>
                <w:b/>
              </w:rPr>
            </w:pPr>
            <w:r>
              <w:rPr>
                <w:rFonts w:hint="default" w:ascii="Times New Roman" w:hAnsi="Times New Roman" w:cs="Times New Roman" w:eastAsiaTheme="minorEastAsia"/>
                <w:b/>
              </w:rPr>
              <w:t>经办人：                                             年    月    日</w:t>
            </w:r>
          </w:p>
          <w:p>
            <w:pPr>
              <w:pStyle w:val="2"/>
              <w:rPr>
                <w:rFonts w:hint="default" w:ascii="Times New Roman" w:hAnsi="Times New Roman" w:cs="Times New Roman" w:eastAsiaTheme="minorEastAsia"/>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jc w:val="center"/>
        </w:trPr>
        <w:tc>
          <w:tcPr>
            <w:tcW w:w="8522" w:type="dxa"/>
            <w:tcBorders>
              <w:tl2br w:val="nil"/>
              <w:tr2bl w:val="nil"/>
            </w:tcBorders>
          </w:tcPr>
          <w:p>
            <w:pPr>
              <w:spacing w:line="360" w:lineRule="auto"/>
              <w:rPr>
                <w:rFonts w:hint="default" w:ascii="Times New Roman" w:hAnsi="Times New Roman" w:cs="Times New Roman" w:eastAsiaTheme="minorEastAsia"/>
                <w:sz w:val="28"/>
              </w:rPr>
            </w:pPr>
            <w:r>
              <w:rPr>
                <w:rFonts w:hint="default" w:ascii="Times New Roman" w:hAnsi="Times New Roman" w:cs="Times New Roman" w:eastAsiaTheme="minorEastAsia"/>
                <w:sz w:val="28"/>
              </w:rPr>
              <w:t>下一级环境保护行政主管部门审查意见：</w:t>
            </w:r>
          </w:p>
          <w:p>
            <w:pPr>
              <w:snapToGrid w:val="0"/>
              <w:spacing w:before="120" w:line="240" w:lineRule="auto"/>
              <w:ind w:left="113" w:right="113"/>
              <w:rPr>
                <w:rFonts w:hint="default" w:ascii="Times New Roman" w:hAnsi="Times New Roman" w:cs="Times New Roman" w:eastAsiaTheme="minorEastAsia"/>
                <w:kern w:val="24"/>
                <w:szCs w:val="20"/>
              </w:rPr>
            </w:pPr>
          </w:p>
          <w:p>
            <w:pPr>
              <w:snapToGrid w:val="0"/>
              <w:spacing w:before="120" w:line="240" w:lineRule="auto"/>
              <w:ind w:left="113" w:right="113"/>
              <w:rPr>
                <w:rFonts w:hint="default" w:ascii="Times New Roman" w:hAnsi="Times New Roman" w:cs="Times New Roman" w:eastAsiaTheme="minorEastAsia"/>
                <w:kern w:val="24"/>
                <w:sz w:val="28"/>
                <w:szCs w:val="20"/>
              </w:rPr>
            </w:pPr>
          </w:p>
          <w:p>
            <w:pPr>
              <w:snapToGrid w:val="0"/>
              <w:spacing w:before="120" w:line="240" w:lineRule="auto"/>
              <w:ind w:left="113" w:right="113"/>
              <w:rPr>
                <w:rFonts w:hint="default" w:ascii="Times New Roman" w:hAnsi="Times New Roman" w:cs="Times New Roman" w:eastAsiaTheme="minorEastAsia"/>
                <w:kern w:val="24"/>
                <w:sz w:val="28"/>
                <w:szCs w:val="20"/>
              </w:rPr>
            </w:pPr>
          </w:p>
          <w:p>
            <w:pPr>
              <w:snapToGrid w:val="0"/>
              <w:spacing w:before="120" w:line="240" w:lineRule="auto"/>
              <w:ind w:left="113" w:right="113"/>
              <w:rPr>
                <w:rFonts w:hint="default" w:ascii="Times New Roman" w:hAnsi="Times New Roman" w:cs="Times New Roman" w:eastAsiaTheme="minorEastAsia"/>
                <w:kern w:val="24"/>
                <w:sz w:val="28"/>
                <w:szCs w:val="20"/>
              </w:rPr>
            </w:pPr>
          </w:p>
          <w:p>
            <w:pPr>
              <w:snapToGrid w:val="0"/>
              <w:spacing w:before="120" w:line="240" w:lineRule="auto"/>
              <w:ind w:left="113" w:right="113"/>
              <w:rPr>
                <w:rFonts w:hint="default" w:ascii="Times New Roman" w:hAnsi="Times New Roman" w:cs="Times New Roman" w:eastAsiaTheme="minorEastAsia"/>
                <w:kern w:val="24"/>
                <w:sz w:val="28"/>
                <w:szCs w:val="20"/>
              </w:rPr>
            </w:pPr>
          </w:p>
          <w:p>
            <w:pPr>
              <w:snapToGrid w:val="0"/>
              <w:spacing w:before="120" w:line="240" w:lineRule="auto"/>
              <w:ind w:right="113"/>
              <w:rPr>
                <w:rFonts w:hint="default" w:ascii="Times New Roman" w:hAnsi="Times New Roman" w:cs="Times New Roman" w:eastAsiaTheme="minorEastAsia"/>
                <w:sz w:val="21"/>
                <w:szCs w:val="20"/>
              </w:rPr>
            </w:pPr>
          </w:p>
          <w:p>
            <w:pPr>
              <w:snapToGrid w:val="0"/>
              <w:spacing w:before="120" w:line="240" w:lineRule="auto"/>
              <w:ind w:left="113" w:right="113"/>
              <w:rPr>
                <w:rFonts w:hint="default" w:ascii="Times New Roman" w:hAnsi="Times New Roman" w:cs="Times New Roman" w:eastAsiaTheme="minorEastAsia"/>
                <w:b/>
                <w:kern w:val="24"/>
                <w:sz w:val="28"/>
                <w:szCs w:val="20"/>
              </w:rPr>
            </w:pPr>
          </w:p>
          <w:p>
            <w:pPr>
              <w:snapToGrid w:val="0"/>
              <w:spacing w:before="120" w:line="240" w:lineRule="auto"/>
              <w:ind w:left="113" w:right="113"/>
              <w:rPr>
                <w:rFonts w:hint="default" w:ascii="Times New Roman" w:hAnsi="Times New Roman" w:cs="Times New Roman" w:eastAsiaTheme="minorEastAsia"/>
                <w:b/>
                <w:kern w:val="24"/>
                <w:sz w:val="28"/>
                <w:szCs w:val="20"/>
              </w:rPr>
            </w:pPr>
          </w:p>
          <w:p>
            <w:pPr>
              <w:snapToGrid w:val="0"/>
              <w:spacing w:before="120" w:line="240" w:lineRule="auto"/>
              <w:ind w:left="113" w:right="113"/>
              <w:rPr>
                <w:rFonts w:hint="default" w:ascii="Times New Roman" w:hAnsi="Times New Roman" w:cs="Times New Roman" w:eastAsiaTheme="minorEastAsia"/>
                <w:b/>
                <w:kern w:val="24"/>
                <w:szCs w:val="20"/>
              </w:rPr>
            </w:pPr>
          </w:p>
          <w:p>
            <w:pPr>
              <w:snapToGrid w:val="0"/>
              <w:spacing w:before="120" w:line="240" w:lineRule="auto"/>
              <w:ind w:left="113" w:right="113"/>
              <w:rPr>
                <w:rFonts w:hint="default" w:ascii="Times New Roman" w:hAnsi="Times New Roman" w:cs="Times New Roman" w:eastAsiaTheme="minorEastAsia"/>
                <w:b/>
                <w:szCs w:val="20"/>
              </w:rPr>
            </w:pPr>
            <w:r>
              <w:rPr>
                <w:rFonts w:hint="default" w:ascii="Times New Roman" w:hAnsi="Times New Roman" w:cs="Times New Roman" w:eastAsiaTheme="minorEastAsia"/>
                <w:b/>
                <w:szCs w:val="20"/>
              </w:rPr>
              <w:t xml:space="preserve">                                                         </w:t>
            </w:r>
            <w:bookmarkStart w:id="102" w:name="_GoBack"/>
            <w:bookmarkEnd w:id="102"/>
            <w:r>
              <w:rPr>
                <w:rFonts w:hint="default" w:ascii="Times New Roman" w:hAnsi="Times New Roman" w:cs="Times New Roman" w:eastAsiaTheme="minorEastAsia"/>
                <w:b/>
                <w:szCs w:val="20"/>
              </w:rPr>
              <w:t>公章</w:t>
            </w:r>
          </w:p>
          <w:p>
            <w:pPr>
              <w:pStyle w:val="2"/>
              <w:rPr>
                <w:rFonts w:hint="default"/>
              </w:rPr>
            </w:pPr>
          </w:p>
          <w:p>
            <w:pPr>
              <w:snapToGrid w:val="0"/>
              <w:spacing w:before="120" w:line="240" w:lineRule="auto"/>
              <w:ind w:left="113" w:right="113"/>
              <w:rPr>
                <w:rFonts w:hint="default" w:ascii="Times New Roman" w:hAnsi="Times New Roman" w:cs="Times New Roman" w:eastAsiaTheme="minorEastAsia"/>
                <w:b/>
                <w:szCs w:val="20"/>
              </w:rPr>
            </w:pPr>
            <w:r>
              <w:rPr>
                <w:rFonts w:hint="default" w:ascii="Times New Roman" w:hAnsi="Times New Roman" w:cs="Times New Roman" w:eastAsiaTheme="minorEastAsia"/>
                <w:b/>
                <w:szCs w:val="20"/>
              </w:rPr>
              <w:t>经办人：                                              年    月    日</w:t>
            </w:r>
          </w:p>
          <w:p>
            <w:pPr>
              <w:pStyle w:val="2"/>
              <w:rPr>
                <w:rFonts w:hint="default"/>
              </w:rPr>
            </w:pPr>
          </w:p>
          <w:p>
            <w:pPr>
              <w:spacing w:line="400" w:lineRule="exact"/>
              <w:jc w:val="center"/>
              <w:rPr>
                <w:rFonts w:hint="default" w:ascii="Times New Roman" w:hAnsi="Times New Roman" w:cs="Times New Roman" w:eastAsiaTheme="minorEastAsia"/>
                <w:b/>
                <w:sz w:val="32"/>
                <w:szCs w:val="32"/>
              </w:rPr>
            </w:pPr>
            <w:r>
              <w:rPr>
                <w:rFonts w:hint="default" w:ascii="Times New Roman" w:hAnsi="Times New Roman" w:cs="Times New Roman" w:eastAsiaTheme="minorEastAsia"/>
                <w:b/>
                <w:sz w:val="32"/>
                <w:szCs w:val="32"/>
              </w:rPr>
              <w:t>注    释</w:t>
            </w:r>
          </w:p>
          <w:p>
            <w:pPr>
              <w:spacing w:line="450" w:lineRule="exact"/>
              <w:ind w:firstLine="360" w:firstLineChars="150"/>
              <w:rPr>
                <w:rFonts w:hint="default" w:ascii="Times New Roman" w:hAnsi="Times New Roman" w:cs="Times New Roman" w:eastAsiaTheme="minorEastAsia"/>
              </w:rPr>
            </w:pPr>
          </w:p>
          <w:p>
            <w:pPr>
              <w:spacing w:line="450" w:lineRule="exact"/>
              <w:ind w:firstLine="360" w:firstLineChars="150"/>
              <w:rPr>
                <w:rFonts w:hint="default" w:ascii="Times New Roman" w:hAnsi="Times New Roman" w:cs="Times New Roman" w:eastAsiaTheme="minorEastAsia"/>
              </w:rPr>
            </w:pPr>
            <w:r>
              <w:rPr>
                <w:rFonts w:hint="default" w:ascii="Times New Roman" w:hAnsi="Times New Roman" w:cs="Times New Roman" w:eastAsiaTheme="minorEastAsia"/>
              </w:rPr>
              <w:t>一、本报告表应附以下附件、附图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附件1  环评委托书</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附件2  征求意见表</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附件3  选址红线统一证明</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附件4  质保单</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附件5  检测报告</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附图1-1  项目地理位置图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附图1-2  项目地理位置图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附图2  总平面布置图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附图3  环境保护目标图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附图4  项目选址红线图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附图5  木里港片区控制性详细规划总图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附图6  监测布点图</w:t>
            </w:r>
          </w:p>
          <w:p>
            <w:pPr>
              <w:pStyle w:val="32"/>
              <w:ind w:firstLine="480"/>
              <w:rPr>
                <w:rFonts w:hint="default" w:ascii="Times New Roman" w:hAnsi="Times New Roman" w:cs="Times New Roman" w:eastAsiaTheme="minorEastAsia"/>
              </w:rPr>
            </w:pPr>
            <w:r>
              <w:rPr>
                <w:rFonts w:hint="default" w:ascii="Times New Roman" w:hAnsi="Times New Roman" w:cs="Times New Roman" w:eastAsiaTheme="minorEastAsia"/>
              </w:rPr>
              <w:t>附图7  项目管网分布图</w:t>
            </w:r>
          </w:p>
          <w:p>
            <w:pPr>
              <w:pStyle w:val="32"/>
              <w:ind w:firstLine="480"/>
              <w:rPr>
                <w:rFonts w:hint="default" w:ascii="Times New Roman" w:hAnsi="Times New Roman" w:cs="Times New Roman" w:eastAsiaTheme="minorEastAsia"/>
              </w:rPr>
            </w:pPr>
            <w:r>
              <w:rPr>
                <w:rFonts w:hint="default" w:ascii="Times New Roman" w:hAnsi="Times New Roman" w:cs="Times New Roman" w:eastAsiaTheme="minorEastAsia"/>
              </w:rPr>
              <w:t>附图8  岳阳经济技术开发区污水管网分布图</w:t>
            </w:r>
          </w:p>
          <w:p>
            <w:pPr>
              <w:pStyle w:val="2"/>
              <w:spacing w:after="0"/>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附图9  项目外环境及现场照片图</w:t>
            </w:r>
          </w:p>
          <w:p>
            <w:pPr>
              <w:spacing w:line="450" w:lineRule="exact"/>
              <w:ind w:firstLine="360" w:firstLineChars="150"/>
              <w:rPr>
                <w:rFonts w:hint="default" w:ascii="Times New Roman" w:hAnsi="Times New Roman" w:cs="Times New Roman" w:eastAsiaTheme="minorEastAsia"/>
              </w:rPr>
            </w:pPr>
            <w:r>
              <w:rPr>
                <w:rFonts w:hint="default" w:ascii="Times New Roman" w:hAnsi="Times New Roman" w:cs="Times New Roman" w:eastAsiaTheme="minorEastAsia"/>
              </w:rPr>
              <w:t>二、如果本报告表不能说明项目产生的污染及对环境造成的影响，应进行专项评价。根据建设项目的特点和当地环境特征，应选下列1－2项进行专项评价。</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1、大气环境影响专项评价</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2、水环境影响专项评价（包括地表水和地下水）</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3、生态影响专项评价</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4、声影响专项评价</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5、土壤影响专项评价</w:t>
            </w:r>
          </w:p>
          <w:p>
            <w:pPr>
              <w:spacing w:line="450" w:lineRule="exact"/>
              <w:ind w:firstLine="480" w:firstLineChars="200"/>
              <w:rPr>
                <w:rFonts w:hint="default" w:ascii="Times New Roman" w:hAnsi="Times New Roman" w:cs="Times New Roman" w:eastAsiaTheme="minorEastAsia"/>
              </w:rPr>
            </w:pPr>
            <w:r>
              <w:rPr>
                <w:rFonts w:hint="default" w:ascii="Times New Roman" w:hAnsi="Times New Roman" w:cs="Times New Roman" w:eastAsiaTheme="minorEastAsia"/>
              </w:rPr>
              <w:t>6、固体废弃物影响专项评价</w:t>
            </w:r>
          </w:p>
          <w:p>
            <w:pPr>
              <w:pStyle w:val="32"/>
              <w:ind w:firstLine="480"/>
              <w:rPr>
                <w:rFonts w:hint="default" w:ascii="Times New Roman" w:hAnsi="Times New Roman" w:cs="Times New Roman" w:eastAsiaTheme="minorEastAsia"/>
              </w:rPr>
            </w:pPr>
            <w:r>
              <w:rPr>
                <w:rFonts w:hint="default" w:ascii="Times New Roman" w:hAnsi="Times New Roman" w:cs="Times New Roman" w:eastAsiaTheme="minorEastAsia"/>
              </w:rPr>
              <w:t>以上专项评价未包括的可另列专项，专项评价按照《环境影响评价技术导则》中的要求进行。</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新宋体-18030">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1A0F3C52" w:usb2="00000010" w:usb3="00000000" w:csb0="0004001F" w:csb1="00000000"/>
  </w:font>
  <w:font w:name="Tahoma">
    <w:panose1 w:val="020B0604030504040204"/>
    <w:charset w:val="00"/>
    <w:family w:val="auto"/>
    <w:pitch w:val="default"/>
    <w:sig w:usb0="61007A87" w:usb1="80000000" w:usb2="00000008" w:usb3="00000000" w:csb0="200101FF" w:csb1="2028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092444"/>
      <w:docPartObj>
        <w:docPartGallery w:val="autotext"/>
      </w:docPartObj>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C16F70"/>
    <w:multiLevelType w:val="singleLevel"/>
    <w:tmpl w:val="91C16F70"/>
    <w:lvl w:ilvl="0" w:tentative="0">
      <w:start w:val="1"/>
      <w:numFmt w:val="decimal"/>
      <w:suff w:val="nothing"/>
      <w:lvlText w:val="%1、"/>
      <w:lvlJc w:val="left"/>
    </w:lvl>
  </w:abstractNum>
  <w:abstractNum w:abstractNumId="1">
    <w:nsid w:val="A4761D69"/>
    <w:multiLevelType w:val="singleLevel"/>
    <w:tmpl w:val="A4761D69"/>
    <w:lvl w:ilvl="0" w:tentative="0">
      <w:start w:val="2"/>
      <w:numFmt w:val="decimal"/>
      <w:suff w:val="nothing"/>
      <w:lvlText w:val="%1）"/>
      <w:lvlJc w:val="left"/>
    </w:lvl>
  </w:abstractNum>
  <w:abstractNum w:abstractNumId="2">
    <w:nsid w:val="AA1D9D4F"/>
    <w:multiLevelType w:val="singleLevel"/>
    <w:tmpl w:val="AA1D9D4F"/>
    <w:lvl w:ilvl="0" w:tentative="0">
      <w:start w:val="2"/>
      <w:numFmt w:val="decimal"/>
      <w:suff w:val="nothing"/>
      <w:lvlText w:val="%1、"/>
      <w:lvlJc w:val="left"/>
    </w:lvl>
  </w:abstractNum>
  <w:abstractNum w:abstractNumId="3">
    <w:nsid w:val="C49B0971"/>
    <w:multiLevelType w:val="singleLevel"/>
    <w:tmpl w:val="C49B0971"/>
    <w:lvl w:ilvl="0" w:tentative="0">
      <w:start w:val="8"/>
      <w:numFmt w:val="decimal"/>
      <w:suff w:val="nothing"/>
      <w:lvlText w:val="%1、"/>
      <w:lvlJc w:val="left"/>
    </w:lvl>
  </w:abstractNum>
  <w:abstractNum w:abstractNumId="4">
    <w:nsid w:val="F78E2668"/>
    <w:multiLevelType w:val="singleLevel"/>
    <w:tmpl w:val="F78E2668"/>
    <w:lvl w:ilvl="0" w:tentative="0">
      <w:start w:val="1"/>
      <w:numFmt w:val="decimal"/>
      <w:suff w:val="nothing"/>
      <w:lvlText w:val="（%1）"/>
      <w:lvlJc w:val="left"/>
    </w:lvl>
  </w:abstractNum>
  <w:abstractNum w:abstractNumId="5">
    <w:nsid w:val="FF7C2549"/>
    <w:multiLevelType w:val="singleLevel"/>
    <w:tmpl w:val="FF7C2549"/>
    <w:lvl w:ilvl="0" w:tentative="0">
      <w:start w:val="6"/>
      <w:numFmt w:val="decimal"/>
      <w:suff w:val="nothing"/>
      <w:lvlText w:val="%1、"/>
      <w:lvlJc w:val="left"/>
    </w:lvl>
  </w:abstractNum>
  <w:abstractNum w:abstractNumId="6">
    <w:nsid w:val="38B3FB8E"/>
    <w:multiLevelType w:val="singleLevel"/>
    <w:tmpl w:val="38B3FB8E"/>
    <w:lvl w:ilvl="0" w:tentative="0">
      <w:start w:val="1"/>
      <w:numFmt w:val="chineseCounting"/>
      <w:suff w:val="nothing"/>
      <w:lvlText w:val="%1、"/>
      <w:lvlJc w:val="left"/>
      <w:rPr>
        <w:rFonts w:hint="eastAsia"/>
      </w:rPr>
    </w:lvl>
  </w:abstractNum>
  <w:abstractNum w:abstractNumId="7">
    <w:nsid w:val="4166AAAD"/>
    <w:multiLevelType w:val="singleLevel"/>
    <w:tmpl w:val="4166AAAD"/>
    <w:lvl w:ilvl="0" w:tentative="0">
      <w:start w:val="1"/>
      <w:numFmt w:val="decimal"/>
      <w:suff w:val="nothing"/>
      <w:lvlText w:val="（%1）"/>
      <w:lvlJc w:val="left"/>
    </w:lvl>
  </w:abstractNum>
  <w:abstractNum w:abstractNumId="8">
    <w:nsid w:val="5CDD63A4"/>
    <w:multiLevelType w:val="multilevel"/>
    <w:tmpl w:val="5CDD63A4"/>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801545F"/>
    <w:multiLevelType w:val="singleLevel"/>
    <w:tmpl w:val="7801545F"/>
    <w:lvl w:ilvl="0" w:tentative="0">
      <w:start w:val="2"/>
      <w:numFmt w:val="decimal"/>
      <w:suff w:val="nothing"/>
      <w:lvlText w:val="%1、"/>
      <w:lvlJc w:val="left"/>
    </w:lvl>
  </w:abstractNum>
  <w:abstractNum w:abstractNumId="10">
    <w:nsid w:val="7FC2514E"/>
    <w:multiLevelType w:val="singleLevel"/>
    <w:tmpl w:val="7FC2514E"/>
    <w:lvl w:ilvl="0" w:tentative="0">
      <w:start w:val="1"/>
      <w:numFmt w:val="decimal"/>
      <w:suff w:val="nothing"/>
      <w:lvlText w:val="（%1）"/>
      <w:lvlJc w:val="left"/>
    </w:lvl>
  </w:abstractNum>
  <w:num w:numId="1">
    <w:abstractNumId w:val="6"/>
  </w:num>
  <w:num w:numId="2">
    <w:abstractNumId w:val="9"/>
  </w:num>
  <w:num w:numId="3">
    <w:abstractNumId w:val="5"/>
  </w:num>
  <w:num w:numId="4">
    <w:abstractNumId w:val="3"/>
  </w:num>
  <w:num w:numId="5">
    <w:abstractNumId w:val="2"/>
  </w:num>
  <w:num w:numId="6">
    <w:abstractNumId w:val="0"/>
  </w:num>
  <w:num w:numId="7">
    <w:abstractNumId w:val="8"/>
  </w:num>
  <w:num w:numId="8">
    <w:abstractNumId w:val="4"/>
  </w:num>
  <w:num w:numId="9">
    <w:abstractNumId w:val="1"/>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8A1F22"/>
    <w:rsid w:val="00000CF5"/>
    <w:rsid w:val="00013BD7"/>
    <w:rsid w:val="00043EFF"/>
    <w:rsid w:val="0005048E"/>
    <w:rsid w:val="0005181B"/>
    <w:rsid w:val="00060095"/>
    <w:rsid w:val="00093885"/>
    <w:rsid w:val="00094DEC"/>
    <w:rsid w:val="0009512B"/>
    <w:rsid w:val="000A0E64"/>
    <w:rsid w:val="000D0CF8"/>
    <w:rsid w:val="000D42CD"/>
    <w:rsid w:val="000E370D"/>
    <w:rsid w:val="00105408"/>
    <w:rsid w:val="001505A4"/>
    <w:rsid w:val="00170EDD"/>
    <w:rsid w:val="001722E8"/>
    <w:rsid w:val="001842EF"/>
    <w:rsid w:val="00184C9C"/>
    <w:rsid w:val="001947B2"/>
    <w:rsid w:val="00194BE1"/>
    <w:rsid w:val="001A1BD1"/>
    <w:rsid w:val="001A7D0B"/>
    <w:rsid w:val="001A7E8C"/>
    <w:rsid w:val="001B7DDD"/>
    <w:rsid w:val="001C65EA"/>
    <w:rsid w:val="001D1353"/>
    <w:rsid w:val="001D41A5"/>
    <w:rsid w:val="001D6405"/>
    <w:rsid w:val="001D6F29"/>
    <w:rsid w:val="001E497D"/>
    <w:rsid w:val="001E49C4"/>
    <w:rsid w:val="001F1CFD"/>
    <w:rsid w:val="001F341C"/>
    <w:rsid w:val="001F5E40"/>
    <w:rsid w:val="00250CAF"/>
    <w:rsid w:val="002528EC"/>
    <w:rsid w:val="002752AA"/>
    <w:rsid w:val="00295731"/>
    <w:rsid w:val="002A3670"/>
    <w:rsid w:val="002E2343"/>
    <w:rsid w:val="002E4C13"/>
    <w:rsid w:val="002E7939"/>
    <w:rsid w:val="0030423B"/>
    <w:rsid w:val="00322036"/>
    <w:rsid w:val="003253F7"/>
    <w:rsid w:val="003259AC"/>
    <w:rsid w:val="00330850"/>
    <w:rsid w:val="00333C65"/>
    <w:rsid w:val="003920CA"/>
    <w:rsid w:val="003B0D9F"/>
    <w:rsid w:val="003B464E"/>
    <w:rsid w:val="003B5096"/>
    <w:rsid w:val="003C6643"/>
    <w:rsid w:val="003C7A44"/>
    <w:rsid w:val="003D4606"/>
    <w:rsid w:val="003D53D1"/>
    <w:rsid w:val="00426A39"/>
    <w:rsid w:val="00430D52"/>
    <w:rsid w:val="004339E9"/>
    <w:rsid w:val="004403FB"/>
    <w:rsid w:val="00444F05"/>
    <w:rsid w:val="00454DE4"/>
    <w:rsid w:val="004638D3"/>
    <w:rsid w:val="00466822"/>
    <w:rsid w:val="00492824"/>
    <w:rsid w:val="004A395C"/>
    <w:rsid w:val="004A554F"/>
    <w:rsid w:val="004B44F6"/>
    <w:rsid w:val="004E27C6"/>
    <w:rsid w:val="004E75DE"/>
    <w:rsid w:val="00506A8B"/>
    <w:rsid w:val="00506DDB"/>
    <w:rsid w:val="00531777"/>
    <w:rsid w:val="005362AF"/>
    <w:rsid w:val="0054338C"/>
    <w:rsid w:val="00546237"/>
    <w:rsid w:val="005476D5"/>
    <w:rsid w:val="005502AE"/>
    <w:rsid w:val="005702B4"/>
    <w:rsid w:val="00581BA5"/>
    <w:rsid w:val="00583D47"/>
    <w:rsid w:val="005A1E1D"/>
    <w:rsid w:val="005A56FC"/>
    <w:rsid w:val="005B371D"/>
    <w:rsid w:val="005C0425"/>
    <w:rsid w:val="005C5C7B"/>
    <w:rsid w:val="005C64DD"/>
    <w:rsid w:val="005C6ED9"/>
    <w:rsid w:val="005D252C"/>
    <w:rsid w:val="005D6EA5"/>
    <w:rsid w:val="005E466E"/>
    <w:rsid w:val="005F2C97"/>
    <w:rsid w:val="005F49B6"/>
    <w:rsid w:val="006017A5"/>
    <w:rsid w:val="00614A0B"/>
    <w:rsid w:val="0062319D"/>
    <w:rsid w:val="00623D26"/>
    <w:rsid w:val="006328F6"/>
    <w:rsid w:val="00662EEE"/>
    <w:rsid w:val="0068514A"/>
    <w:rsid w:val="00690373"/>
    <w:rsid w:val="006915C9"/>
    <w:rsid w:val="00692127"/>
    <w:rsid w:val="006B2A3D"/>
    <w:rsid w:val="006C4473"/>
    <w:rsid w:val="006D2F0A"/>
    <w:rsid w:val="006E2476"/>
    <w:rsid w:val="006F1E64"/>
    <w:rsid w:val="00707274"/>
    <w:rsid w:val="0070792D"/>
    <w:rsid w:val="00715A22"/>
    <w:rsid w:val="00724115"/>
    <w:rsid w:val="007258F4"/>
    <w:rsid w:val="007273C5"/>
    <w:rsid w:val="00727AB8"/>
    <w:rsid w:val="0073325E"/>
    <w:rsid w:val="00737924"/>
    <w:rsid w:val="00744F76"/>
    <w:rsid w:val="00752F7F"/>
    <w:rsid w:val="00753FE3"/>
    <w:rsid w:val="00771F87"/>
    <w:rsid w:val="00773274"/>
    <w:rsid w:val="00775DCF"/>
    <w:rsid w:val="00783BB6"/>
    <w:rsid w:val="007A32B7"/>
    <w:rsid w:val="007A3F9F"/>
    <w:rsid w:val="007A5CAA"/>
    <w:rsid w:val="007A7DF2"/>
    <w:rsid w:val="007B0723"/>
    <w:rsid w:val="007C3CF5"/>
    <w:rsid w:val="007F4B87"/>
    <w:rsid w:val="007F5C22"/>
    <w:rsid w:val="008136AB"/>
    <w:rsid w:val="00820DE0"/>
    <w:rsid w:val="00822EDE"/>
    <w:rsid w:val="00830BFE"/>
    <w:rsid w:val="00834DE0"/>
    <w:rsid w:val="00836E38"/>
    <w:rsid w:val="00861389"/>
    <w:rsid w:val="00866839"/>
    <w:rsid w:val="008854BD"/>
    <w:rsid w:val="008A2D5B"/>
    <w:rsid w:val="008B13CB"/>
    <w:rsid w:val="008B4C5A"/>
    <w:rsid w:val="008B7318"/>
    <w:rsid w:val="008D02B9"/>
    <w:rsid w:val="008F1C44"/>
    <w:rsid w:val="008F5059"/>
    <w:rsid w:val="008F77BB"/>
    <w:rsid w:val="00907CAB"/>
    <w:rsid w:val="0091201F"/>
    <w:rsid w:val="00913B1A"/>
    <w:rsid w:val="00914B58"/>
    <w:rsid w:val="009209C4"/>
    <w:rsid w:val="00932099"/>
    <w:rsid w:val="00956A78"/>
    <w:rsid w:val="00975B6C"/>
    <w:rsid w:val="00987D4D"/>
    <w:rsid w:val="009965EC"/>
    <w:rsid w:val="009A239A"/>
    <w:rsid w:val="009A792B"/>
    <w:rsid w:val="009A7C62"/>
    <w:rsid w:val="009B513B"/>
    <w:rsid w:val="009E4D86"/>
    <w:rsid w:val="009E74B9"/>
    <w:rsid w:val="009F0670"/>
    <w:rsid w:val="009F66BA"/>
    <w:rsid w:val="00A00016"/>
    <w:rsid w:val="00A01821"/>
    <w:rsid w:val="00A04CCA"/>
    <w:rsid w:val="00A21F4E"/>
    <w:rsid w:val="00A2350E"/>
    <w:rsid w:val="00A32C86"/>
    <w:rsid w:val="00A42431"/>
    <w:rsid w:val="00A80FA0"/>
    <w:rsid w:val="00A82D93"/>
    <w:rsid w:val="00A95435"/>
    <w:rsid w:val="00A96587"/>
    <w:rsid w:val="00AA3E7D"/>
    <w:rsid w:val="00AB056A"/>
    <w:rsid w:val="00AB6205"/>
    <w:rsid w:val="00AC29CD"/>
    <w:rsid w:val="00AC6E4A"/>
    <w:rsid w:val="00AF09AF"/>
    <w:rsid w:val="00B0060F"/>
    <w:rsid w:val="00B13373"/>
    <w:rsid w:val="00B2079F"/>
    <w:rsid w:val="00B2717A"/>
    <w:rsid w:val="00B42633"/>
    <w:rsid w:val="00B52B74"/>
    <w:rsid w:val="00B56228"/>
    <w:rsid w:val="00B624E5"/>
    <w:rsid w:val="00B70247"/>
    <w:rsid w:val="00B739A0"/>
    <w:rsid w:val="00B75A63"/>
    <w:rsid w:val="00B9631E"/>
    <w:rsid w:val="00BB4C58"/>
    <w:rsid w:val="00BC5FD7"/>
    <w:rsid w:val="00BD1AD0"/>
    <w:rsid w:val="00BE4C2C"/>
    <w:rsid w:val="00BE7A89"/>
    <w:rsid w:val="00BF41EB"/>
    <w:rsid w:val="00C13F07"/>
    <w:rsid w:val="00C246CF"/>
    <w:rsid w:val="00C333EC"/>
    <w:rsid w:val="00C36EE2"/>
    <w:rsid w:val="00C3713A"/>
    <w:rsid w:val="00C4280E"/>
    <w:rsid w:val="00C43297"/>
    <w:rsid w:val="00C47C75"/>
    <w:rsid w:val="00C63B23"/>
    <w:rsid w:val="00C63CFB"/>
    <w:rsid w:val="00C64058"/>
    <w:rsid w:val="00C803AC"/>
    <w:rsid w:val="00C83C3B"/>
    <w:rsid w:val="00C85BC7"/>
    <w:rsid w:val="00C87948"/>
    <w:rsid w:val="00C974DA"/>
    <w:rsid w:val="00CA3999"/>
    <w:rsid w:val="00CA6C2F"/>
    <w:rsid w:val="00CB504F"/>
    <w:rsid w:val="00CB7FF5"/>
    <w:rsid w:val="00CD6619"/>
    <w:rsid w:val="00CE74DA"/>
    <w:rsid w:val="00CE758F"/>
    <w:rsid w:val="00CE7D07"/>
    <w:rsid w:val="00CF31DD"/>
    <w:rsid w:val="00CF5127"/>
    <w:rsid w:val="00D0426C"/>
    <w:rsid w:val="00D23A22"/>
    <w:rsid w:val="00D355FB"/>
    <w:rsid w:val="00D476D9"/>
    <w:rsid w:val="00D53A27"/>
    <w:rsid w:val="00D7678C"/>
    <w:rsid w:val="00D80CF6"/>
    <w:rsid w:val="00D847AC"/>
    <w:rsid w:val="00DD68F4"/>
    <w:rsid w:val="00DE002E"/>
    <w:rsid w:val="00DE1A9F"/>
    <w:rsid w:val="00DE4FBC"/>
    <w:rsid w:val="00DE6E76"/>
    <w:rsid w:val="00DF6F7F"/>
    <w:rsid w:val="00E03D29"/>
    <w:rsid w:val="00E07991"/>
    <w:rsid w:val="00E13253"/>
    <w:rsid w:val="00E22685"/>
    <w:rsid w:val="00E360D4"/>
    <w:rsid w:val="00E4037B"/>
    <w:rsid w:val="00E46D0B"/>
    <w:rsid w:val="00E5313B"/>
    <w:rsid w:val="00E53977"/>
    <w:rsid w:val="00E5441E"/>
    <w:rsid w:val="00E544C0"/>
    <w:rsid w:val="00E76883"/>
    <w:rsid w:val="00EC568F"/>
    <w:rsid w:val="00ED6BB5"/>
    <w:rsid w:val="00EE09AD"/>
    <w:rsid w:val="00EE1A6D"/>
    <w:rsid w:val="00EE325D"/>
    <w:rsid w:val="00F039CF"/>
    <w:rsid w:val="00F03C1F"/>
    <w:rsid w:val="00F13E0D"/>
    <w:rsid w:val="00F15D40"/>
    <w:rsid w:val="00F22CEA"/>
    <w:rsid w:val="00F26771"/>
    <w:rsid w:val="00F319D8"/>
    <w:rsid w:val="00F32462"/>
    <w:rsid w:val="00F3307B"/>
    <w:rsid w:val="00F4129D"/>
    <w:rsid w:val="00F62D46"/>
    <w:rsid w:val="00F70460"/>
    <w:rsid w:val="00FB33AC"/>
    <w:rsid w:val="00FC68C0"/>
    <w:rsid w:val="00FE0BF2"/>
    <w:rsid w:val="00FE3105"/>
    <w:rsid w:val="00FF5411"/>
    <w:rsid w:val="00FF76F8"/>
    <w:rsid w:val="050D2D3A"/>
    <w:rsid w:val="09107140"/>
    <w:rsid w:val="09FC3272"/>
    <w:rsid w:val="0C3B09EA"/>
    <w:rsid w:val="10AA4FF9"/>
    <w:rsid w:val="11E864E5"/>
    <w:rsid w:val="14456313"/>
    <w:rsid w:val="18C417CB"/>
    <w:rsid w:val="19BA6111"/>
    <w:rsid w:val="1D7E6A2B"/>
    <w:rsid w:val="1FBC428A"/>
    <w:rsid w:val="215F1E50"/>
    <w:rsid w:val="22CB55E5"/>
    <w:rsid w:val="2494688B"/>
    <w:rsid w:val="26A169BB"/>
    <w:rsid w:val="2B7C093D"/>
    <w:rsid w:val="2BD5293F"/>
    <w:rsid w:val="2CFC03F1"/>
    <w:rsid w:val="2F750FCC"/>
    <w:rsid w:val="3159603C"/>
    <w:rsid w:val="34135078"/>
    <w:rsid w:val="37933E4B"/>
    <w:rsid w:val="38323AB9"/>
    <w:rsid w:val="386C6F94"/>
    <w:rsid w:val="39A40F1C"/>
    <w:rsid w:val="3AE45CFF"/>
    <w:rsid w:val="3AF044C9"/>
    <w:rsid w:val="404272FF"/>
    <w:rsid w:val="404B2D6A"/>
    <w:rsid w:val="4084396C"/>
    <w:rsid w:val="43A45772"/>
    <w:rsid w:val="462A0BB9"/>
    <w:rsid w:val="464C401A"/>
    <w:rsid w:val="47C56822"/>
    <w:rsid w:val="47C6623D"/>
    <w:rsid w:val="48760710"/>
    <w:rsid w:val="48F60B34"/>
    <w:rsid w:val="49B81715"/>
    <w:rsid w:val="4D195CE4"/>
    <w:rsid w:val="51183B9C"/>
    <w:rsid w:val="51430BFE"/>
    <w:rsid w:val="538A1F22"/>
    <w:rsid w:val="55F23706"/>
    <w:rsid w:val="58017A3C"/>
    <w:rsid w:val="590553F6"/>
    <w:rsid w:val="592E695B"/>
    <w:rsid w:val="5A30245B"/>
    <w:rsid w:val="5D07377B"/>
    <w:rsid w:val="5E4F0CCC"/>
    <w:rsid w:val="61F33B40"/>
    <w:rsid w:val="6C320FA1"/>
    <w:rsid w:val="6E3B27B9"/>
    <w:rsid w:val="735B5A98"/>
    <w:rsid w:val="779107C5"/>
    <w:rsid w:val="7DCD667D"/>
    <w:rsid w:val="7F2B7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uiPriority="39" w:semiHidden="0" w:name="toc 7"/>
    <w:lsdException w:qFormat="1" w:uiPriority="39" w:semiHidden="0" w:name="toc 8"/>
    <w:lsdException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asciiTheme="minorHAnsi" w:hAnsiTheme="minorHAnsi" w:eastAsiaTheme="minorEastAsia" w:cstheme="minorBidi"/>
      <w:kern w:val="2"/>
      <w:sz w:val="24"/>
      <w:szCs w:val="22"/>
      <w:lang w:val="en-US" w:eastAsia="zh-CN" w:bidi="ar-SA"/>
    </w:rPr>
  </w:style>
  <w:style w:type="paragraph" w:styleId="4">
    <w:name w:val="heading 1"/>
    <w:basedOn w:val="1"/>
    <w:next w:val="1"/>
    <w:qFormat/>
    <w:uiPriority w:val="0"/>
    <w:pPr>
      <w:keepNext/>
      <w:keepLines/>
      <w:spacing w:line="360" w:lineRule="auto"/>
      <w:outlineLvl w:val="0"/>
    </w:pPr>
    <w:rPr>
      <w:rFonts w:eastAsia="宋体"/>
      <w:b/>
      <w:kern w:val="44"/>
      <w:sz w:val="32"/>
      <w:szCs w:val="24"/>
    </w:rPr>
  </w:style>
  <w:style w:type="paragraph" w:styleId="5">
    <w:name w:val="heading 2"/>
    <w:basedOn w:val="1"/>
    <w:next w:val="1"/>
    <w:unhideWhenUsed/>
    <w:qFormat/>
    <w:uiPriority w:val="0"/>
    <w:pPr>
      <w:keepNext/>
      <w:spacing w:line="360" w:lineRule="auto"/>
      <w:ind w:firstLine="883" w:firstLineChars="200"/>
      <w:outlineLvl w:val="1"/>
    </w:pPr>
    <w:rPr>
      <w:rFonts w:ascii="Times New Roman" w:hAnsi="Times New Roman"/>
      <w:b/>
      <w:sz w:val="28"/>
    </w:rPr>
  </w:style>
  <w:style w:type="paragraph" w:styleId="6">
    <w:name w:val="heading 3"/>
    <w:basedOn w:val="1"/>
    <w:next w:val="1"/>
    <w:unhideWhenUsed/>
    <w:qFormat/>
    <w:uiPriority w:val="0"/>
    <w:pPr>
      <w:keepNext/>
      <w:keepLines/>
      <w:spacing w:line="360" w:lineRule="auto"/>
      <w:ind w:firstLine="883" w:firstLineChars="200"/>
      <w:outlineLvl w:val="2"/>
    </w:pPr>
    <w:rPr>
      <w:rFonts w:ascii="Times New Roman" w:hAnsi="Times New Roman"/>
      <w:b/>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styleId="7">
    <w:name w:val="toc 7"/>
    <w:basedOn w:val="1"/>
    <w:next w:val="1"/>
    <w:unhideWhenUsed/>
    <w:uiPriority w:val="39"/>
    <w:pPr>
      <w:spacing w:line="240" w:lineRule="auto"/>
      <w:ind w:left="2520" w:leftChars="1200"/>
    </w:pPr>
    <w:rPr>
      <w:sz w:val="21"/>
    </w:rPr>
  </w:style>
  <w:style w:type="paragraph" w:styleId="8">
    <w:name w:val="Normal Indent"/>
    <w:basedOn w:val="1"/>
    <w:link w:val="41"/>
    <w:qFormat/>
    <w:uiPriority w:val="0"/>
    <w:pPr>
      <w:ind w:firstLine="420" w:firstLineChars="200"/>
    </w:pPr>
    <w:rPr>
      <w:szCs w:val="20"/>
    </w:rPr>
  </w:style>
  <w:style w:type="paragraph" w:styleId="9">
    <w:name w:val="Body Text Indent"/>
    <w:basedOn w:val="1"/>
    <w:link w:val="44"/>
    <w:qFormat/>
    <w:uiPriority w:val="0"/>
    <w:pPr>
      <w:spacing w:after="120"/>
      <w:ind w:left="420" w:leftChars="200"/>
    </w:pPr>
  </w:style>
  <w:style w:type="paragraph" w:styleId="10">
    <w:name w:val="toc 5"/>
    <w:basedOn w:val="1"/>
    <w:next w:val="1"/>
    <w:unhideWhenUsed/>
    <w:qFormat/>
    <w:uiPriority w:val="39"/>
    <w:pPr>
      <w:spacing w:line="240" w:lineRule="auto"/>
      <w:ind w:left="1680" w:leftChars="800"/>
    </w:pPr>
    <w:rPr>
      <w:sz w:val="21"/>
    </w:rPr>
  </w:style>
  <w:style w:type="paragraph" w:styleId="11">
    <w:name w:val="toc 3"/>
    <w:basedOn w:val="1"/>
    <w:next w:val="1"/>
    <w:unhideWhenUsed/>
    <w:qFormat/>
    <w:uiPriority w:val="39"/>
    <w:pPr>
      <w:widowControl/>
      <w:spacing w:after="100" w:line="259" w:lineRule="auto"/>
      <w:ind w:left="440"/>
      <w:jc w:val="left"/>
    </w:pPr>
    <w:rPr>
      <w:rFonts w:cs="Times New Roman"/>
      <w:kern w:val="0"/>
      <w:sz w:val="22"/>
    </w:rPr>
  </w:style>
  <w:style w:type="paragraph" w:styleId="12">
    <w:name w:val="toc 8"/>
    <w:basedOn w:val="1"/>
    <w:next w:val="1"/>
    <w:unhideWhenUsed/>
    <w:qFormat/>
    <w:uiPriority w:val="39"/>
    <w:pPr>
      <w:spacing w:line="240" w:lineRule="auto"/>
      <w:ind w:left="2940" w:leftChars="1400"/>
    </w:pPr>
    <w:rPr>
      <w:sz w:val="21"/>
    </w:rPr>
  </w:style>
  <w:style w:type="paragraph" w:styleId="13">
    <w:name w:val="Balloon Text"/>
    <w:basedOn w:val="1"/>
    <w:link w:val="47"/>
    <w:qFormat/>
    <w:uiPriority w:val="0"/>
    <w:pPr>
      <w:spacing w:line="240" w:lineRule="auto"/>
    </w:pPr>
    <w:rPr>
      <w:sz w:val="18"/>
      <w:szCs w:val="18"/>
    </w:rPr>
  </w:style>
  <w:style w:type="paragraph" w:styleId="14">
    <w:name w:val="footer"/>
    <w:basedOn w:val="1"/>
    <w:link w:val="40"/>
    <w:qFormat/>
    <w:uiPriority w:val="99"/>
    <w:pPr>
      <w:tabs>
        <w:tab w:val="center" w:pos="4153"/>
        <w:tab w:val="right" w:pos="8306"/>
      </w:tabs>
      <w:snapToGrid w:val="0"/>
      <w:spacing w:line="240" w:lineRule="atLeast"/>
      <w:jc w:val="left"/>
    </w:pPr>
    <w:rPr>
      <w:sz w:val="18"/>
      <w:szCs w:val="18"/>
    </w:rPr>
  </w:style>
  <w:style w:type="paragraph" w:styleId="15">
    <w:name w:val="header"/>
    <w:basedOn w:val="1"/>
    <w:link w:val="39"/>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6">
    <w:name w:val="toc 1"/>
    <w:basedOn w:val="1"/>
    <w:next w:val="1"/>
    <w:unhideWhenUsed/>
    <w:uiPriority w:val="39"/>
    <w:pPr>
      <w:widowControl/>
      <w:spacing w:after="100" w:line="259" w:lineRule="auto"/>
      <w:jc w:val="left"/>
    </w:pPr>
    <w:rPr>
      <w:rFonts w:cs="Times New Roman"/>
      <w:kern w:val="0"/>
      <w:sz w:val="22"/>
    </w:rPr>
  </w:style>
  <w:style w:type="paragraph" w:styleId="17">
    <w:name w:val="toc 4"/>
    <w:basedOn w:val="1"/>
    <w:next w:val="1"/>
    <w:unhideWhenUsed/>
    <w:uiPriority w:val="39"/>
    <w:pPr>
      <w:spacing w:line="240" w:lineRule="auto"/>
      <w:ind w:left="1260" w:leftChars="600"/>
    </w:pPr>
    <w:rPr>
      <w:sz w:val="21"/>
    </w:rPr>
  </w:style>
  <w:style w:type="paragraph" w:styleId="18">
    <w:name w:val="toc 6"/>
    <w:basedOn w:val="1"/>
    <w:next w:val="1"/>
    <w:unhideWhenUsed/>
    <w:uiPriority w:val="39"/>
    <w:pPr>
      <w:spacing w:line="240" w:lineRule="auto"/>
      <w:ind w:left="2100" w:leftChars="1000"/>
    </w:pPr>
    <w:rPr>
      <w:sz w:val="21"/>
    </w:rPr>
  </w:style>
  <w:style w:type="paragraph" w:styleId="19">
    <w:name w:val="toc 2"/>
    <w:basedOn w:val="1"/>
    <w:next w:val="1"/>
    <w:unhideWhenUsed/>
    <w:uiPriority w:val="39"/>
    <w:pPr>
      <w:widowControl/>
      <w:spacing w:after="100" w:line="259" w:lineRule="auto"/>
      <w:ind w:left="220"/>
      <w:jc w:val="left"/>
    </w:pPr>
    <w:rPr>
      <w:rFonts w:cs="Times New Roman"/>
      <w:kern w:val="0"/>
      <w:sz w:val="22"/>
    </w:rPr>
  </w:style>
  <w:style w:type="paragraph" w:styleId="20">
    <w:name w:val="toc 9"/>
    <w:basedOn w:val="1"/>
    <w:next w:val="1"/>
    <w:unhideWhenUsed/>
    <w:uiPriority w:val="39"/>
    <w:pPr>
      <w:spacing w:line="240" w:lineRule="auto"/>
      <w:ind w:left="3360" w:leftChars="1600"/>
    </w:pPr>
    <w:rPr>
      <w:sz w:val="21"/>
    </w:rPr>
  </w:style>
  <w:style w:type="paragraph" w:styleId="21">
    <w:name w:val="Body Text First Indent"/>
    <w:basedOn w:val="2"/>
    <w:qFormat/>
    <w:uiPriority w:val="0"/>
    <w:pPr>
      <w:ind w:firstLine="420" w:firstLineChars="100"/>
    </w:pPr>
  </w:style>
  <w:style w:type="paragraph" w:styleId="22">
    <w:name w:val="Body Text First Indent 2"/>
    <w:basedOn w:val="9"/>
    <w:link w:val="46"/>
    <w:uiPriority w:val="0"/>
    <w:pPr>
      <w:ind w:firstLine="420" w:firstLineChars="2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Emphasis"/>
    <w:basedOn w:val="25"/>
    <w:qFormat/>
    <w:uiPriority w:val="20"/>
  </w:style>
  <w:style w:type="character" w:styleId="27">
    <w:name w:val="Hyperlink"/>
    <w:basedOn w:val="25"/>
    <w:unhideWhenUsed/>
    <w:uiPriority w:val="99"/>
    <w:rPr>
      <w:color w:val="0563C1" w:themeColor="hyperlink"/>
      <w:u w:val="single"/>
      <w14:textFill>
        <w14:solidFill>
          <w14:schemeClr w14:val="hlink"/>
        </w14:solidFill>
      </w14:textFill>
    </w:rPr>
  </w:style>
  <w:style w:type="character" w:styleId="28">
    <w:name w:val="annotation reference"/>
    <w:qFormat/>
    <w:uiPriority w:val="0"/>
    <w:rPr>
      <w:sz w:val="21"/>
      <w:szCs w:val="21"/>
    </w:rPr>
  </w:style>
  <w:style w:type="paragraph" w:customStyle="1" w:styleId="29">
    <w:name w:val="正  文"/>
    <w:basedOn w:val="1"/>
    <w:next w:val="1"/>
    <w:qFormat/>
    <w:uiPriority w:val="0"/>
    <w:pPr>
      <w:spacing w:line="360" w:lineRule="auto"/>
      <w:ind w:firstLine="560" w:firstLineChars="200"/>
    </w:pPr>
    <w:rPr>
      <w:rFonts w:ascii="宋体" w:hAnsi="宋体" w:cs="仿宋_GB2312"/>
      <w:szCs w:val="28"/>
    </w:rPr>
  </w:style>
  <w:style w:type="paragraph" w:customStyle="1" w:styleId="30">
    <w:name w:val="表文字"/>
    <w:basedOn w:val="1"/>
    <w:qFormat/>
    <w:uiPriority w:val="0"/>
    <w:pPr>
      <w:overflowPunct w:val="0"/>
      <w:autoSpaceDE w:val="0"/>
      <w:autoSpaceDN w:val="0"/>
      <w:adjustRightInd w:val="0"/>
      <w:spacing w:line="240" w:lineRule="atLeast"/>
      <w:jc w:val="center"/>
      <w:textAlignment w:val="baseline"/>
    </w:pPr>
    <w:rPr>
      <w:kern w:val="0"/>
      <w:szCs w:val="20"/>
    </w:rPr>
  </w:style>
  <w:style w:type="paragraph" w:customStyle="1" w:styleId="3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customStyle="1" w:styleId="32">
    <w:name w:val="报告正文"/>
    <w:basedOn w:val="1"/>
    <w:link w:val="48"/>
    <w:qFormat/>
    <w:uiPriority w:val="0"/>
    <w:pPr>
      <w:adjustRightInd w:val="0"/>
      <w:snapToGrid w:val="0"/>
      <w:ind w:firstLine="200" w:firstLineChars="200"/>
    </w:pPr>
    <w:rPr>
      <w:rFonts w:ascii="宋体"/>
    </w:rPr>
  </w:style>
  <w:style w:type="paragraph" w:customStyle="1" w:styleId="33">
    <w:name w:val="表格正文"/>
    <w:qFormat/>
    <w:uiPriority w:val="0"/>
    <w:pPr>
      <w:tabs>
        <w:tab w:val="left" w:pos="324"/>
      </w:tabs>
      <w:spacing w:before="60" w:after="60" w:line="440" w:lineRule="exact"/>
      <w:jc w:val="center"/>
    </w:pPr>
    <w:rPr>
      <w:rFonts w:ascii="Calibri" w:hAnsi="Calibri" w:eastAsia="宋体" w:cs="Times New Roman"/>
      <w:sz w:val="21"/>
      <w:lang w:val="en-US" w:eastAsia="zh-CN" w:bidi="ar-SA"/>
    </w:rPr>
  </w:style>
  <w:style w:type="paragraph" w:customStyle="1" w:styleId="34">
    <w:name w:val="表格1"/>
    <w:basedOn w:val="1"/>
    <w:qFormat/>
    <w:uiPriority w:val="0"/>
    <w:pPr>
      <w:spacing w:line="360" w:lineRule="auto"/>
      <w:ind w:firstLine="480" w:firstLineChars="200"/>
      <w:jc w:val="center"/>
    </w:pPr>
    <w:rPr>
      <w:snapToGrid w:val="0"/>
      <w:kern w:val="0"/>
    </w:rPr>
  </w:style>
  <w:style w:type="paragraph" w:customStyle="1" w:styleId="35">
    <w:name w:val="正文1"/>
    <w:basedOn w:val="1"/>
    <w:qFormat/>
    <w:uiPriority w:val="0"/>
    <w:pPr>
      <w:spacing w:before="78" w:beforeLines="25" w:after="78" w:afterLines="25" w:line="360" w:lineRule="auto"/>
      <w:ind w:firstLine="480" w:firstLineChars="200"/>
    </w:pPr>
  </w:style>
  <w:style w:type="paragraph" w:customStyle="1" w:styleId="36">
    <w:name w:val="正文缩进1"/>
    <w:basedOn w:val="1"/>
    <w:qFormat/>
    <w:uiPriority w:val="0"/>
    <w:pPr>
      <w:ind w:firstLine="420"/>
    </w:pPr>
  </w:style>
  <w:style w:type="paragraph" w:customStyle="1" w:styleId="37">
    <w:name w:val="样式 小四 黑色 行距: 固定值 26 磅"/>
    <w:basedOn w:val="1"/>
    <w:qFormat/>
    <w:uiPriority w:val="0"/>
    <w:pPr>
      <w:ind w:firstLine="504" w:firstLineChars="200"/>
    </w:pPr>
    <w:rPr>
      <w:color w:val="000000"/>
      <w:spacing w:val="6"/>
    </w:rPr>
  </w:style>
  <w:style w:type="paragraph" w:styleId="38">
    <w:name w:val="List Paragraph"/>
    <w:basedOn w:val="1"/>
    <w:uiPriority w:val="99"/>
    <w:pPr>
      <w:ind w:firstLine="420" w:firstLineChars="200"/>
    </w:pPr>
  </w:style>
  <w:style w:type="character" w:customStyle="1" w:styleId="39">
    <w:name w:val="页眉 字符"/>
    <w:basedOn w:val="25"/>
    <w:link w:val="15"/>
    <w:uiPriority w:val="0"/>
    <w:rPr>
      <w:rFonts w:asciiTheme="minorHAnsi" w:hAnsiTheme="minorHAnsi" w:eastAsiaTheme="minorEastAsia" w:cstheme="minorBidi"/>
      <w:kern w:val="2"/>
      <w:sz w:val="18"/>
      <w:szCs w:val="18"/>
    </w:rPr>
  </w:style>
  <w:style w:type="character" w:customStyle="1" w:styleId="40">
    <w:name w:val="页脚 字符"/>
    <w:basedOn w:val="25"/>
    <w:link w:val="14"/>
    <w:uiPriority w:val="99"/>
    <w:rPr>
      <w:rFonts w:asciiTheme="minorHAnsi" w:hAnsiTheme="minorHAnsi" w:eastAsiaTheme="minorEastAsia" w:cstheme="minorBidi"/>
      <w:kern w:val="2"/>
      <w:sz w:val="18"/>
      <w:szCs w:val="18"/>
    </w:rPr>
  </w:style>
  <w:style w:type="character" w:customStyle="1" w:styleId="41">
    <w:name w:val="正文缩进 字符"/>
    <w:basedOn w:val="25"/>
    <w:link w:val="8"/>
    <w:qFormat/>
    <w:uiPriority w:val="0"/>
    <w:rPr>
      <w:rFonts w:asciiTheme="minorHAnsi" w:hAnsiTheme="minorHAnsi" w:eastAsiaTheme="minorEastAsia" w:cstheme="minorBidi"/>
      <w:kern w:val="2"/>
      <w:sz w:val="24"/>
    </w:rPr>
  </w:style>
  <w:style w:type="paragraph" w:customStyle="1" w:styleId="42">
    <w:name w:val="ENFI表体"/>
    <w:basedOn w:val="1"/>
    <w:qFormat/>
    <w:uiPriority w:val="0"/>
    <w:pPr>
      <w:widowControl/>
      <w:adjustRightInd w:val="0"/>
      <w:snapToGrid w:val="0"/>
      <w:spacing w:line="240" w:lineRule="atLeast"/>
      <w:jc w:val="center"/>
    </w:pPr>
    <w:rPr>
      <w:rFonts w:ascii="Calibri" w:hAnsi="Calibri" w:eastAsia="仿宋_GB2312" w:cs="Times New Roman"/>
      <w:kern w:val="0"/>
      <w:szCs w:val="20"/>
    </w:rPr>
  </w:style>
  <w:style w:type="paragraph" w:customStyle="1" w:styleId="43">
    <w:name w:val="Char Char Char Char Char"/>
    <w:basedOn w:val="1"/>
    <w:next w:val="1"/>
    <w:uiPriority w:val="0"/>
    <w:pPr>
      <w:widowControl/>
      <w:spacing w:after="160" w:line="240" w:lineRule="exact"/>
      <w:jc w:val="left"/>
    </w:pPr>
    <w:rPr>
      <w:rFonts w:ascii="Arial" w:hAnsi="Arial" w:eastAsia="Times New Roman" w:cs="Verdana"/>
      <w:b/>
      <w:kern w:val="0"/>
      <w:szCs w:val="20"/>
      <w:lang w:eastAsia="en-US"/>
    </w:rPr>
  </w:style>
  <w:style w:type="character" w:customStyle="1" w:styleId="44">
    <w:name w:val="正文文本缩进 字符"/>
    <w:basedOn w:val="25"/>
    <w:link w:val="9"/>
    <w:uiPriority w:val="0"/>
    <w:rPr>
      <w:rFonts w:asciiTheme="minorHAnsi" w:hAnsiTheme="minorHAnsi" w:eastAsiaTheme="minorEastAsia" w:cstheme="minorBidi"/>
      <w:kern w:val="2"/>
      <w:sz w:val="24"/>
      <w:szCs w:val="22"/>
    </w:rPr>
  </w:style>
  <w:style w:type="character" w:customStyle="1" w:styleId="45">
    <w:name w:val="apple-converted-space"/>
    <w:basedOn w:val="25"/>
    <w:uiPriority w:val="0"/>
    <w:rPr>
      <w:rFonts w:ascii="Arial" w:hAnsi="Arial" w:eastAsia="Times New Roman" w:cs="Verdana"/>
      <w:b/>
      <w:kern w:val="0"/>
      <w:sz w:val="24"/>
      <w:lang w:eastAsia="en-US"/>
    </w:rPr>
  </w:style>
  <w:style w:type="character" w:customStyle="1" w:styleId="46">
    <w:name w:val="正文文本首行缩进 2 字符"/>
    <w:basedOn w:val="44"/>
    <w:link w:val="22"/>
    <w:uiPriority w:val="0"/>
    <w:rPr>
      <w:rFonts w:asciiTheme="minorHAnsi" w:hAnsiTheme="minorHAnsi" w:eastAsiaTheme="minorEastAsia" w:cstheme="minorBidi"/>
      <w:kern w:val="2"/>
      <w:sz w:val="24"/>
      <w:szCs w:val="22"/>
    </w:rPr>
  </w:style>
  <w:style w:type="character" w:customStyle="1" w:styleId="47">
    <w:name w:val="批注框文本 字符"/>
    <w:basedOn w:val="25"/>
    <w:link w:val="13"/>
    <w:uiPriority w:val="0"/>
    <w:rPr>
      <w:rFonts w:asciiTheme="minorHAnsi" w:hAnsiTheme="minorHAnsi" w:eastAsiaTheme="minorEastAsia" w:cstheme="minorBidi"/>
      <w:kern w:val="2"/>
      <w:sz w:val="18"/>
      <w:szCs w:val="18"/>
    </w:rPr>
  </w:style>
  <w:style w:type="character" w:customStyle="1" w:styleId="48">
    <w:name w:val="报告正文 Char Char"/>
    <w:link w:val="32"/>
    <w:uiPriority w:val="0"/>
    <w:rPr>
      <w:rFonts w:ascii="宋体" w:hAnsiTheme="minorHAnsi" w:eastAsiaTheme="minorEastAsia" w:cstheme="minorBidi"/>
      <w:kern w:val="2"/>
      <w:sz w:val="24"/>
      <w:szCs w:val="22"/>
    </w:rPr>
  </w:style>
  <w:style w:type="paragraph" w:customStyle="1" w:styleId="49">
    <w:name w:val="TOC Heading"/>
    <w:basedOn w:val="4"/>
    <w:next w:val="1"/>
    <w:unhideWhenUsed/>
    <w:qFormat/>
    <w:uiPriority w:val="39"/>
    <w:pPr>
      <w:widowControl/>
      <w:spacing w:before="240" w:line="259" w:lineRule="auto"/>
      <w:jc w:val="left"/>
      <w:outlineLvl w:val="9"/>
    </w:pPr>
    <w:rPr>
      <w:rFonts w:asciiTheme="majorHAnsi" w:hAnsiTheme="majorHAnsi" w:eastAsiaTheme="majorEastAsia" w:cstheme="majorBidi"/>
      <w:b w:val="0"/>
      <w:color w:val="2E75B6" w:themeColor="accent1" w:themeShade="BF"/>
      <w:kern w:val="0"/>
      <w:szCs w:val="32"/>
    </w:rPr>
  </w:style>
  <w:style w:type="character" w:customStyle="1" w:styleId="50">
    <w:name w:val="Unresolved Mention"/>
    <w:basedOn w:val="25"/>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187C4-3C74-4247-82B8-E3886A44C071}">
  <ds:schemaRefs/>
</ds:datastoreItem>
</file>

<file path=docProps/app.xml><?xml version="1.0" encoding="utf-8"?>
<Properties xmlns="http://schemas.openxmlformats.org/officeDocument/2006/extended-properties" xmlns:vt="http://schemas.openxmlformats.org/officeDocument/2006/docPropsVTypes">
  <Template>Normal</Template>
  <Pages>98</Pages>
  <Words>10854</Words>
  <Characters>61869</Characters>
  <Lines>515</Lines>
  <Paragraphs>145</Paragraphs>
  <TotalTime>2</TotalTime>
  <ScaleCrop>false</ScaleCrop>
  <LinksUpToDate>false</LinksUpToDate>
  <CharactersWithSpaces>72578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2020-01-08T06:09:00Z</dcterms:created>
  <dc:creator>阿拉法的贝塔</dc:creator>
  <cp:lastModifiedBy>Administrator</cp:lastModifiedBy>
  <dcterms:modified xsi:type="dcterms:W3CDTF">2020-03-11T01:22:56Z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